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83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6371"/>
      </w:tblGrid>
      <w:tr w:rsidR="0088131B" w14:paraId="7E1F4CC2" w14:textId="77777777" w:rsidTr="00790C83">
        <w:trPr>
          <w:tblCellSpacing w:w="0" w:type="dxa"/>
        </w:trPr>
        <w:tc>
          <w:tcPr>
            <w:tcW w:w="20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B575" w14:textId="77777777" w:rsidR="0088131B" w:rsidRDefault="00BC7A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E63037" wp14:editId="32EC4877">
                      <wp:simplePos x="0" y="0"/>
                      <wp:positionH relativeFrom="column">
                        <wp:posOffset>816771</wp:posOffset>
                      </wp:positionH>
                      <wp:positionV relativeFrom="paragraph">
                        <wp:posOffset>499745</wp:posOffset>
                      </wp:positionV>
                      <wp:extent cx="914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E8360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39.35pt" to="136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 ĐỒNG NHÂN DÂN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THÀNH PHỐ HỒ CHÍ MINH</w:t>
            </w:r>
          </w:p>
        </w:tc>
        <w:tc>
          <w:tcPr>
            <w:tcW w:w="2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0526" w14:textId="77777777" w:rsidR="0088131B" w:rsidRDefault="00BC7A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B6EB26" wp14:editId="6EF46DF3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508000</wp:posOffset>
                      </wp:positionV>
                      <wp:extent cx="217681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68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46CB95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40pt" to="240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  <w:tr w:rsidR="0088131B" w14:paraId="5AA182F4" w14:textId="77777777" w:rsidTr="00790C83">
        <w:trPr>
          <w:tblCellSpacing w:w="0" w:type="dxa"/>
        </w:trPr>
        <w:tc>
          <w:tcPr>
            <w:tcW w:w="20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AA07" w14:textId="677FE725" w:rsidR="0088131B" w:rsidRDefault="00BC7A70" w:rsidP="00790C83">
            <w:pPr>
              <w:tabs>
                <w:tab w:val="left" w:pos="352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       /NQ-HĐND</w:t>
            </w:r>
          </w:p>
        </w:tc>
        <w:tc>
          <w:tcPr>
            <w:tcW w:w="2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86F8" w14:textId="2AA2D540" w:rsidR="0088131B" w:rsidRDefault="00341AC0" w:rsidP="00790C8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phố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Hồ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Chí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Minh,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="00BC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2025</w:t>
            </w:r>
          </w:p>
        </w:tc>
      </w:tr>
    </w:tbl>
    <w:bookmarkStart w:id="0" w:name="loai_1"/>
    <w:p w14:paraId="7B6D99C3" w14:textId="781EF8ED" w:rsidR="00516A22" w:rsidRDefault="009D2D31" w:rsidP="00184E09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EADBD" wp14:editId="6F23C838">
                <wp:simplePos x="0" y="0"/>
                <wp:positionH relativeFrom="column">
                  <wp:posOffset>186690</wp:posOffset>
                </wp:positionH>
                <wp:positionV relativeFrom="paragraph">
                  <wp:posOffset>96851</wp:posOffset>
                </wp:positionV>
                <wp:extent cx="1070658" cy="318304"/>
                <wp:effectExtent l="0" t="0" r="1524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58" cy="31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3EB8C" w14:textId="77777777" w:rsidR="0088131B" w:rsidRDefault="00BC7A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AD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7pt;margin-top:7.65pt;width:84.3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" fillcolor="white [3201]" strokeweight=".5pt">
                <v:textbox>
                  <w:txbxContent>
                    <w:p w14:paraId="0BE3EB8C" w14:textId="77777777" w:rsidR="0088131B" w:rsidRDefault="00BC7A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24415BFB" w14:textId="77777777" w:rsidR="00790C83" w:rsidRDefault="00790C8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14:paraId="35025B15" w14:textId="21B12767" w:rsidR="0088131B" w:rsidRPr="009D2D31" w:rsidRDefault="00BC7A7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D2D3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NGHỊ QUYẾT</w:t>
      </w:r>
      <w:bookmarkEnd w:id="0"/>
    </w:p>
    <w:p w14:paraId="0E5E4AF7" w14:textId="2038D91B" w:rsidR="0088131B" w:rsidRPr="00492C24" w:rsidRDefault="00BC7A70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loai_1_name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34/2023/NQ-HĐND </w:t>
      </w:r>
      <w:r w:rsidR="00B31A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1A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1A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phong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Sắn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36A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sz w:val="28"/>
          <w:szCs w:val="28"/>
        </w:rPr>
        <w:t>trên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5C2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="00175C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5C22">
        <w:rPr>
          <w:rFonts w:ascii="Times New Roman" w:hAnsi="Times New Roman"/>
          <w:b/>
          <w:sz w:val="28"/>
          <w:szCs w:val="28"/>
        </w:rPr>
        <w:t>bàn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Hồ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Chí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Minh </w:t>
      </w:r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spellStart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>sắp</w:t>
      </w:r>
      <w:proofErr w:type="spellEnd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>xếp</w:t>
      </w:r>
      <w:proofErr w:type="spellEnd"/>
      <w:r w:rsidR="00492C24" w:rsidRPr="00492C24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216D9DA1" w14:textId="77777777" w:rsidR="00140167" w:rsidRPr="00140167" w:rsidRDefault="00140167" w:rsidP="00140167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0167">
        <w:rPr>
          <w:rFonts w:ascii="Times New Roman" w:eastAsia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95621B" wp14:editId="4BE85270">
                <wp:simplePos x="0" y="0"/>
                <wp:positionH relativeFrom="column">
                  <wp:posOffset>2361565</wp:posOffset>
                </wp:positionH>
                <wp:positionV relativeFrom="paragraph">
                  <wp:posOffset>53975</wp:posOffset>
                </wp:positionV>
                <wp:extent cx="1115695" cy="0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50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85.95pt;margin-top:4.25pt;width:8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0c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"/>
            </w:pict>
          </mc:Fallback>
        </mc:AlternateContent>
      </w:r>
      <w:r w:rsidRPr="00140167">
        <w:rPr>
          <w:rFonts w:ascii="Times New Roman" w:eastAsia="Times New Roman" w:hAnsi="Times New Roman" w:cs="Times New Roman"/>
          <w:b/>
          <w:sz w:val="27"/>
          <w:szCs w:val="27"/>
        </w:rPr>
        <w:t xml:space="preserve">HỘI ĐỒNG NHÂN DÂN THÀNH PHỐ HỒ CHÍ MINH </w:t>
      </w:r>
    </w:p>
    <w:p w14:paraId="76BF0605" w14:textId="28DFACA6" w:rsidR="0088131B" w:rsidRPr="00140167" w:rsidRDefault="00140167" w:rsidP="0014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0167">
        <w:rPr>
          <w:rFonts w:ascii="Times New Roman" w:eastAsia="Times New Roman" w:hAnsi="Times New Roman" w:cs="Times New Roman"/>
          <w:b/>
          <w:sz w:val="27"/>
          <w:szCs w:val="27"/>
        </w:rPr>
        <w:t>KHÓA X, KỲ HỌP THỨ NĂM</w:t>
      </w:r>
      <w:bookmarkEnd w:id="1"/>
    </w:p>
    <w:p w14:paraId="094E3A7F" w14:textId="77777777" w:rsidR="00B811A5" w:rsidRPr="00B811A5" w:rsidRDefault="00B811A5" w:rsidP="00B811A5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</w:rPr>
      </w:pP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Căn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cứ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Luật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Tổ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chức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chính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quyền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địa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>phương</w:t>
      </w:r>
      <w:proofErr w:type="spellEnd"/>
      <w:r w:rsidRPr="00B811A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16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2025</w:t>
      </w:r>
      <w:r w:rsidRPr="00B811A5">
        <w:rPr>
          <w:rFonts w:ascii="Times New Roman" w:hAnsi="Times New Roman" w:cs="Times New Roman"/>
          <w:bCs/>
          <w:i/>
          <w:spacing w:val="-2"/>
          <w:sz w:val="28"/>
          <w:szCs w:val="28"/>
        </w:rPr>
        <w:t>;</w:t>
      </w:r>
    </w:p>
    <w:p w14:paraId="1926C9A5" w14:textId="77777777" w:rsidR="00B811A5" w:rsidRPr="00B811A5" w:rsidRDefault="00B811A5" w:rsidP="00B811A5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19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02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2025</w:t>
      </w:r>
      <w:r w:rsidRPr="00B811A5">
        <w:rPr>
          <w:rFonts w:ascii="Times New Roman" w:hAnsi="Times New Roman" w:cs="Times New Roman"/>
          <w:bCs/>
          <w:i/>
          <w:spacing w:val="-2"/>
          <w:sz w:val="28"/>
          <w:szCs w:val="28"/>
        </w:rPr>
        <w:t>;</w:t>
      </w:r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127891" w14:textId="173FE12A" w:rsidR="00B811A5" w:rsidRPr="00B811A5" w:rsidRDefault="00B811A5" w:rsidP="00B811A5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25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B811A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2025;</w:t>
      </w:r>
      <w:r w:rsidR="001B1EF9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B81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FA7F9F0" w14:textId="7E15F643" w:rsidR="00B811A5" w:rsidRPr="00B811A5" w:rsidRDefault="00B811A5" w:rsidP="00B811A5">
      <w:pPr>
        <w:widowControl w:val="0"/>
        <w:suppressAutoHyphens/>
        <w:spacing w:before="100" w:after="100" w:line="240" w:lineRule="auto"/>
        <w:ind w:leftChars="-1" w:left="-2" w:firstLine="567"/>
        <w:jc w:val="both"/>
        <w:textDirection w:val="btLr"/>
        <w:textAlignment w:val="top"/>
        <w:outlineLvl w:val="0"/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</w:pPr>
      <w:r w:rsidRPr="00B811A5">
        <w:rPr>
          <w:rFonts w:ascii="Times New Roman" w:eastAsia="Times New Roman" w:hAnsi="Times New Roman" w:cs="Times New Roman"/>
          <w:i/>
          <w:position w:val="-1"/>
          <w:sz w:val="28"/>
          <w:szCs w:val="28"/>
          <w:lang w:val="vi-VN" w:eastAsia="vi-VN"/>
        </w:rPr>
        <w:t xml:space="preserve">Căn cứ Luật Ngân sách nhà nước </w:t>
      </w:r>
      <w:proofErr w:type="spellStart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>ngày</w:t>
      </w:r>
      <w:proofErr w:type="spellEnd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 xml:space="preserve"> 25 </w:t>
      </w:r>
      <w:proofErr w:type="spellStart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>tháng</w:t>
      </w:r>
      <w:proofErr w:type="spellEnd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 xml:space="preserve"> 6 </w:t>
      </w:r>
      <w:proofErr w:type="spellStart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>năm</w:t>
      </w:r>
      <w:proofErr w:type="spellEnd"/>
      <w:r w:rsidRPr="00B811A5"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  <w:t xml:space="preserve"> 2015;</w:t>
      </w:r>
    </w:p>
    <w:p w14:paraId="15D22693" w14:textId="77777777" w:rsidR="00407BCB" w:rsidRPr="00407BCB" w:rsidRDefault="00407BCB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Nghị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quyết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202/2025/QH15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12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Quốc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hội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việc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sắp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xếp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đơn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vị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cấp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tỉnh</w:t>
      </w:r>
      <w:proofErr w:type="spellEnd"/>
      <w:r w:rsidRPr="00407BCB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59A31AFB" w14:textId="77777777" w:rsidR="00407BCB" w:rsidRPr="00407BCB" w:rsidRDefault="00407BCB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78/2025/NĐ-CP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01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4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tiết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biện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hướng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dẫn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</w:p>
    <w:p w14:paraId="614EF562" w14:textId="77777777" w:rsidR="00407BCB" w:rsidRPr="00407BCB" w:rsidRDefault="00407BCB" w:rsidP="00184E09">
      <w:pPr>
        <w:spacing w:before="120" w:after="120" w:line="240" w:lineRule="auto"/>
        <w:ind w:firstLine="567"/>
        <w:jc w:val="both"/>
        <w:rPr>
          <w:rFonts w:ascii="Times New Roman Italic" w:eastAsia="Times New Roman" w:hAnsi="Times New Roman Italic" w:cs="Times New Roman"/>
          <w:i/>
          <w:iCs/>
          <w:sz w:val="28"/>
          <w:szCs w:val="28"/>
        </w:rPr>
      </w:pP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Căn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cứ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Nghị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79/2025/NĐ-CP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01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4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Chính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phủ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về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kiểm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tra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rà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soát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hệ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thống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hóa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và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xử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lý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văn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bản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phạm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 Italic" w:eastAsia="Times New Roman" w:hAnsi="Times New Roman Italic" w:cs="Times New Roman"/>
          <w:i/>
          <w:iCs/>
          <w:sz w:val="28"/>
          <w:szCs w:val="28"/>
        </w:rPr>
        <w:t xml:space="preserve">; </w:t>
      </w:r>
    </w:p>
    <w:p w14:paraId="28689F5E" w14:textId="77777777" w:rsidR="00407BCB" w:rsidRPr="00DC2176" w:rsidRDefault="00407BCB" w:rsidP="00184E09">
      <w:pPr>
        <w:spacing w:before="120" w:after="120" w:line="240" w:lineRule="auto"/>
        <w:ind w:firstLine="567"/>
        <w:jc w:val="both"/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</w:pP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187/2025/NĐ-CP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01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7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78/2025/NĐ-CP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01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4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tiết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biện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hướng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dẫn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79/2025/NĐ-CP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01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4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2025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kiểm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tra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rà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soát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hệ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xử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407BCB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1E87A2BE" w14:textId="1740B4E6" w:rsidR="0088131B" w:rsidRPr="00DC2176" w:rsidRDefault="00BC7A70" w:rsidP="00184E09">
      <w:pPr>
        <w:spacing w:before="120" w:after="120" w:line="240" w:lineRule="auto"/>
        <w:ind w:firstLine="567"/>
        <w:jc w:val="both"/>
        <w:rPr>
          <w:rFonts w:ascii="Times New Roman" w:eastAsia="Courier New" w:hAnsi="Times New Roman" w:cs="Times New Roman"/>
          <w:bCs/>
          <w:i/>
          <w:position w:val="-1"/>
          <w:sz w:val="28"/>
          <w:szCs w:val="28"/>
          <w:lang w:eastAsia="vi-VN"/>
        </w:rPr>
      </w:pPr>
      <w:r w:rsidRPr="00DC2176">
        <w:rPr>
          <w:rFonts w:ascii="Times New Roman" w:hAnsi="Times New Roman" w:cs="Times New Roman"/>
          <w:i/>
          <w:sz w:val="28"/>
          <w:szCs w:val="28"/>
          <w:lang w:val="nl-NL"/>
        </w:rPr>
        <w:t>Căn cứ Nghị định số 20/2021/NĐ-CP ngày 25 tháng 3 năm 2021 của Chính phủ quy định chính sách trợ giúp xã hội đối với đối tượng bảo trợ xã hội;</w:t>
      </w:r>
    </w:p>
    <w:p w14:paraId="547B0334" w14:textId="77777777" w:rsidR="0088131B" w:rsidRPr="00DC2176" w:rsidRDefault="00BC7A70" w:rsidP="00184E0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DC2176"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Nghị định số 76/2024/NĐ-CP ngày 01 tháng 7 năm 2024 của Chính phủ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sửa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bổ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sung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hyperlink r:id="rId8" w:tgtFrame="_blank" w:tooltip="Nghị định 20/2021/NĐ-CP" w:history="1">
        <w:r w:rsidR="0088131B" w:rsidRPr="00DC2176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20/2021/NĐ-CP</w:t>
        </w:r>
      </w:hyperlink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15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năm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2021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quy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DC217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14:paraId="0E36B3DE" w14:textId="1449C250" w:rsidR="0088131B" w:rsidRPr="00634B9F" w:rsidRDefault="00BC7A70" w:rsidP="00184E0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</w:pPr>
      <w:r w:rsidRPr="00A94824"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>Xét Tờ trình số</w:t>
      </w:r>
      <w:r w:rsidR="00A94824"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651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>/TTr-UBND ngày</w:t>
      </w:r>
      <w:r w:rsidR="00A94824"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30 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tháng </w:t>
      </w:r>
      <w:r w:rsidR="00A94824"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>10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năm 2025 của Ủy ban nhân dân Thành phố Hồ Chí Minh về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đề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nghị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ban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hành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Nghị quyết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về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việc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áp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dụng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Nghị quyết số 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34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>/20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23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>/NQ-HĐND ngày 0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8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tháng 12 năm 20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23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 của Hội đồng nhân dân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Thành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phố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Hồ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Chí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Minh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về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chế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độ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hỗ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cho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đối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tượng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bảo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xã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hội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tại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cơ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sở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giúp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xã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hội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công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lập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thuộc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Sở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Lao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động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-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Thương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binh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và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Xã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hội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quản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lý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và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Trại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viên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khu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điều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trị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phong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Bến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="00225C00"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ắn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thuộc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Sở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Y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tế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quản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lý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trên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toàn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bộ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địa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giới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hành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chính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của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Thành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phố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Hồ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Chí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Minh (</w:t>
      </w:r>
      <w:proofErr w:type="spellStart"/>
      <w:r w:rsidR="009E279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sau</w:t>
      </w:r>
      <w:proofErr w:type="spellEnd"/>
      <w:r w:rsidR="009E279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="009E279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sắp</w:t>
      </w:r>
      <w:proofErr w:type="spellEnd"/>
      <w:r w:rsidR="009E279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 xml:space="preserve"> </w:t>
      </w:r>
      <w:proofErr w:type="spellStart"/>
      <w:r w:rsidR="009E279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xếp</w:t>
      </w:r>
      <w:proofErr w:type="spellEnd"/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</w:rPr>
        <w:t>)</w:t>
      </w:r>
      <w:r w:rsidRPr="00A94824">
        <w:rPr>
          <w:rFonts w:ascii="Times New Roman Italic" w:hAnsi="Times New Roman Italic" w:cs="Times New Roman"/>
          <w:i/>
          <w:iCs/>
          <w:spacing w:val="-2"/>
          <w:sz w:val="28"/>
          <w:szCs w:val="28"/>
          <w:lang w:val="nl-NL"/>
        </w:rPr>
        <w:t xml:space="preserve">;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Báo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cáo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thẩm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tra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số</w:t>
      </w:r>
      <w:proofErr w:type="spellEnd"/>
      <w:r w:rsidR="003D7D5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749</w:t>
      </w:r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/BC-BVHXH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ngày</w:t>
      </w:r>
      <w:proofErr w:type="spellEnd"/>
      <w:r w:rsidR="00230C43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13 </w:t>
      </w:r>
      <w:bookmarkStart w:id="2" w:name="_GoBack"/>
      <w:bookmarkEnd w:id="2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tháng 11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năm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2025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của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Ban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Văn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hóa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-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Xã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hội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Hội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đồng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nhân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dân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Thành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phố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; ý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kiến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thảo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luận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của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đại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biểu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Hội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đồng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nhân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dân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Thành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phố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tại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kỳ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 xml:space="preserve"> </w:t>
      </w:r>
      <w:proofErr w:type="spellStart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họp</w:t>
      </w:r>
      <w:proofErr w:type="spellEnd"/>
      <w:r w:rsidR="00407BCB" w:rsidRPr="00634B9F">
        <w:rPr>
          <w:rFonts w:ascii="Times New Roman Italic" w:eastAsia="Times New Roman" w:hAnsi="Times New Roman Italic" w:cs="Times New Roman"/>
          <w:i/>
          <w:spacing w:val="-2"/>
          <w:sz w:val="28"/>
          <w:szCs w:val="28"/>
        </w:rPr>
        <w:t>.</w:t>
      </w:r>
    </w:p>
    <w:p w14:paraId="3729E418" w14:textId="77777777" w:rsidR="00E15F51" w:rsidRPr="00E15F51" w:rsidRDefault="00E15F51" w:rsidP="00184E0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639EF42F" w14:textId="70DDCCBB" w:rsidR="0088131B" w:rsidRPr="007677B9" w:rsidRDefault="00BC7A70" w:rsidP="00184E0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QUYẾT NGHỊ</w:t>
      </w:r>
      <w:r w:rsidR="0076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69977A7" w14:textId="77777777" w:rsidR="00E15F51" w:rsidRPr="00E15F51" w:rsidRDefault="00E15F51" w:rsidP="00184E0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640A932D" w14:textId="7EED400B" w:rsidR="0088131B" w:rsidRDefault="007677B9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bản</w:t>
      </w:r>
      <w:proofErr w:type="spellEnd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áp</w:t>
      </w:r>
      <w:proofErr w:type="spellEnd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7B9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</w:p>
    <w:p w14:paraId="04BD18F7" w14:textId="623A282A" w:rsidR="0088131B" w:rsidRPr="00762607" w:rsidRDefault="00D8698F" w:rsidP="00184E0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D8698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34/2023/NQ-HĐND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Lao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binh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trại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phong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Bến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Sắn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AA3E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bàn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phố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>Chí</w:t>
      </w:r>
      <w:proofErr w:type="spellEnd"/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Minh</w:t>
      </w:r>
      <w:r w:rsidR="00F4637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F4637E" w:rsidRPr="00F4637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F4637E" w:rsidRPr="00F4637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sau sắp xếp</w:t>
      </w:r>
      <w:r w:rsidR="00F4637E" w:rsidRPr="00F4637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AA3E1A" w:rsidRPr="00AA3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573799F" w14:textId="77CF14B7" w:rsidR="0088131B" w:rsidRPr="00AE2E20" w:rsidRDefault="00BC7A70" w:rsidP="00184E0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9D2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 xml:space="preserve">Điều </w:t>
      </w:r>
      <w:r w:rsidRPr="009D2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9D2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 xml:space="preserve">. </w:t>
      </w:r>
      <w:r w:rsidR="00AE2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Bãi bỏ một phần Nghị quyết</w:t>
      </w:r>
      <w:r w:rsidR="00853D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1A0DA3F4" w14:textId="4AA74D0E" w:rsidR="0088131B" w:rsidRPr="009D2D31" w:rsidRDefault="005D15A0" w:rsidP="00184E0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zh-CN"/>
        </w:rPr>
        <w:t xml:space="preserve">Bãi bỏ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Điều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7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Nghị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quyết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số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04/2025/NQ-HĐND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ngày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27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tháng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3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năm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2025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của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đồng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nhân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dân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tỉnh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Bà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Rịa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-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Vũng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Tàu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quy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định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chính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sách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trợ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giúp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xã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đối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với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đối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tượng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bảo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trợ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xã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hội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trên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địa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bàn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tỉnh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Bà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Rịa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-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Vũng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Tàu</w:t>
      </w:r>
      <w:proofErr w:type="spellEnd"/>
      <w:r w:rsidR="00BC7A70" w:rsidRPr="009D2D3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14:paraId="7826DF16" w14:textId="77777777" w:rsidR="00762607" w:rsidRPr="00762607" w:rsidRDefault="00762607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762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93BA4" w14:textId="77777777" w:rsidR="00762607" w:rsidRPr="00762607" w:rsidRDefault="00762607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1.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Giao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Ủy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ban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nhân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dân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Thành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phố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tổ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chức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triển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khai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thực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hiện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Nghị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quyết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này</w:t>
      </w:r>
      <w:proofErr w:type="spellEnd"/>
      <w:r w:rsidRPr="0076260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.</w:t>
      </w:r>
    </w:p>
    <w:p w14:paraId="4281C4BD" w14:textId="77777777" w:rsidR="00762607" w:rsidRPr="00762607" w:rsidRDefault="00762607" w:rsidP="00184E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Hội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đồng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phố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giám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sát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chặt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chẽ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này. </w:t>
      </w:r>
    </w:p>
    <w:p w14:paraId="15C58660" w14:textId="562FB639" w:rsidR="00CB4C50" w:rsidRPr="00762607" w:rsidRDefault="00762607" w:rsidP="00184E09">
      <w:pPr>
        <w:spacing w:before="120" w:after="120" w:line="240" w:lineRule="auto"/>
        <w:ind w:firstLine="567"/>
        <w:jc w:val="both"/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</w:pP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1E5">
        <w:rPr>
          <w:rFonts w:ascii="Times New Roman" w:eastAsia="Times New Roman" w:hAnsi="Times New Roman" w:cs="Times New Roman"/>
          <w:sz w:val="28"/>
          <w:szCs w:val="28"/>
          <w:lang w:val="vi-VN"/>
        </w:rPr>
        <w:t>năm</w:t>
      </w:r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1E5">
        <w:rPr>
          <w:rFonts w:ascii="Times New Roman" w:eastAsia="Times New Roman" w:hAnsi="Times New Roman" w:cs="Times New Roman"/>
          <w:sz w:val="28"/>
          <w:szCs w:val="28"/>
          <w:lang w:val="vi-VN"/>
        </w:rPr>
        <w:t>14</w:t>
      </w:r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7626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62607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và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có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hiệu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lực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thi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hành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kể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từ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ngày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>thông</w:t>
      </w:r>
      <w:proofErr w:type="spellEnd"/>
      <w:r w:rsidRPr="00762607">
        <w:rPr>
          <w:rFonts w:ascii="Times New Roman" w:eastAsia="Aptos" w:hAnsi="Times New Roman" w:cs="Arial"/>
          <w:kern w:val="2"/>
          <w:sz w:val="28"/>
          <w:szCs w:val="24"/>
          <w14:ligatures w14:val="standardContextual"/>
        </w:rPr>
        <w:t xml:space="preserve"> qua./.</w:t>
      </w:r>
    </w:p>
    <w:tbl>
      <w:tblPr>
        <w:tblW w:w="10173" w:type="dxa"/>
        <w:tblInd w:w="-142" w:type="dxa"/>
        <w:tblLook w:val="01E0" w:firstRow="1" w:lastRow="1" w:firstColumn="1" w:lastColumn="1" w:noHBand="0" w:noVBand="0"/>
      </w:tblPr>
      <w:tblGrid>
        <w:gridCol w:w="5920"/>
        <w:gridCol w:w="4253"/>
      </w:tblGrid>
      <w:tr w:rsidR="00634B9F" w:rsidRPr="00634B9F" w14:paraId="79F25B96" w14:textId="77777777" w:rsidTr="00367A08">
        <w:trPr>
          <w:trHeight w:val="3668"/>
        </w:trPr>
        <w:tc>
          <w:tcPr>
            <w:tcW w:w="5920" w:type="dxa"/>
          </w:tcPr>
          <w:p w14:paraId="109D2925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i/>
                <w:lang w:val="vi-VN" w:eastAsia="vi-VN"/>
              </w:rPr>
            </w:pPr>
            <w:r w:rsidRPr="00634B9F">
              <w:rPr>
                <w:rFonts w:ascii="Times New Roman" w:eastAsia="Times New Roman" w:hAnsi="Times New Roman" w:cs="Times New Roman"/>
                <w:b/>
                <w:i/>
                <w:sz w:val="24"/>
                <w:lang w:val="vi-VN" w:eastAsia="vi-VN"/>
              </w:rPr>
              <w:t>Nơi nhận:</w:t>
            </w:r>
            <w:r w:rsidRPr="00634B9F">
              <w:rPr>
                <w:rFonts w:ascii="Times New Roman" w:eastAsia="Courier New" w:hAnsi="Times New Roman" w:cs="Courier New"/>
                <w:b/>
                <w:i/>
                <w:lang w:val="vi-VN" w:eastAsia="vi-VN"/>
              </w:rPr>
              <w:tab/>
            </w:r>
            <w:r w:rsidRPr="00634B9F">
              <w:rPr>
                <w:rFonts w:ascii="Times New Roman" w:eastAsia="Courier New" w:hAnsi="Times New Roman" w:cs="Courier New"/>
                <w:b/>
                <w:i/>
                <w:lang w:val="vi-VN" w:eastAsia="vi-VN"/>
              </w:rPr>
              <w:tab/>
            </w:r>
          </w:p>
          <w:p w14:paraId="784025CA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Ủy ban Thường vụ Quốc hội</w:t>
            </w: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; </w:t>
            </w:r>
          </w:p>
          <w:p w14:paraId="4FF69CCF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-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Văn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phòng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Quốc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hội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, 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Chính phủ;</w:t>
            </w:r>
          </w:p>
          <w:p w14:paraId="42EA96BA" w14:textId="57D185F8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 xml:space="preserve">-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Các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Bộ</w:t>
            </w: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: </w:t>
            </w:r>
            <w:r w:rsidR="00860A72" w:rsidRPr="00634B9F">
              <w:rPr>
                <w:rFonts w:ascii="Times New Roman" w:eastAsia="Courier New" w:hAnsi="Times New Roman" w:cs="Courier New"/>
                <w:lang w:eastAsia="vi-VN"/>
              </w:rPr>
              <w:t xml:space="preserve">Y </w:t>
            </w:r>
            <w:proofErr w:type="spellStart"/>
            <w:r w:rsidR="00860A72" w:rsidRPr="00634B9F">
              <w:rPr>
                <w:rFonts w:ascii="Times New Roman" w:eastAsia="Courier New" w:hAnsi="Times New Roman" w:cs="Courier New"/>
                <w:lang w:eastAsia="vi-VN"/>
              </w:rPr>
              <w:t>tế</w:t>
            </w:r>
            <w:proofErr w:type="spellEnd"/>
            <w:r w:rsidR="00860A72">
              <w:rPr>
                <w:rFonts w:ascii="Times New Roman" w:eastAsia="Courier New" w:hAnsi="Times New Roman" w:cs="Courier New"/>
                <w:lang w:eastAsia="vi-VN"/>
              </w:rPr>
              <w:t xml:space="preserve">,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Tài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chính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>;</w:t>
            </w:r>
          </w:p>
          <w:p w14:paraId="3CA53C21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Cục Kiểm tra VB và QLXLVPHC</w:t>
            </w:r>
            <w:r w:rsidRPr="00634B9F">
              <w:rPr>
                <w:rFonts w:ascii="Times New Roman" w:eastAsia="Courier New" w:hAnsi="Times New Roman" w:cs="Courier New"/>
                <w:lang w:eastAsia="vi-VN"/>
              </w:rPr>
              <w:t>-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Bộ Tư pháp;</w:t>
            </w:r>
          </w:p>
          <w:p w14:paraId="2A00A0AC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Thường trực Thành ủy;</w:t>
            </w:r>
          </w:p>
          <w:p w14:paraId="7520A26D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Đoàn đại biểu Quốc hội Thành phố;</w:t>
            </w:r>
          </w:p>
          <w:p w14:paraId="0004156E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eastAsia="vi-VN"/>
              </w:rPr>
            </w:pP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- 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Th</w:t>
            </w:r>
            <w:r w:rsidRPr="00634B9F">
              <w:rPr>
                <w:rFonts w:ascii="Times New Roman" w:eastAsia="Courier New" w:hAnsi="Times New Roman" w:cs="Courier New" w:hint="eastAsia"/>
                <w:lang w:val="vi-VN" w:eastAsia="vi-VN"/>
              </w:rPr>
              <w:t>ư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ờng trực HĐND</w:t>
            </w: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, UBND, UBMTTQVN 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Thành phố;</w:t>
            </w:r>
          </w:p>
          <w:p w14:paraId="37B6CABE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-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Đại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biểu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HĐND 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Thành phố;</w:t>
            </w:r>
          </w:p>
          <w:p w14:paraId="7A8CB430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Các Sở, ban, ngành Thành phố;</w:t>
            </w:r>
          </w:p>
          <w:p w14:paraId="5352C69A" w14:textId="63F491DD" w:rsidR="00634B9F" w:rsidRPr="007A5F6D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 xml:space="preserve">- </w:t>
            </w:r>
            <w:r w:rsidRPr="00634B9F">
              <w:rPr>
                <w:rFonts w:ascii="Times New Roman" w:eastAsia="Courier New" w:hAnsi="Times New Roman" w:cs="Courier New"/>
                <w:spacing w:val="-8"/>
                <w:lang w:val="vi-VN" w:eastAsia="vi-VN"/>
              </w:rPr>
              <w:t>Văn phòng</w:t>
            </w:r>
            <w:r w:rsidRPr="00634B9F">
              <w:rPr>
                <w:rFonts w:ascii="Times New Roman" w:eastAsia="Courier New" w:hAnsi="Times New Roman" w:cs="Courier New"/>
                <w:spacing w:val="-8"/>
                <w:lang w:eastAsia="vi-VN"/>
              </w:rPr>
              <w:t>:</w:t>
            </w:r>
            <w:r w:rsidRPr="00634B9F">
              <w:rPr>
                <w:rFonts w:ascii="Times New Roman" w:eastAsia="Courier New" w:hAnsi="Times New Roman" w:cs="Courier New"/>
                <w:spacing w:val="-8"/>
                <w:lang w:val="vi-VN" w:eastAsia="vi-VN"/>
              </w:rPr>
              <w:t xml:space="preserve"> Thành ủy</w:t>
            </w:r>
            <w:r w:rsidRPr="00634B9F">
              <w:rPr>
                <w:rFonts w:ascii="Times New Roman" w:eastAsia="Courier New" w:hAnsi="Times New Roman" w:cs="Courier New"/>
                <w:spacing w:val="-8"/>
                <w:lang w:eastAsia="vi-VN"/>
              </w:rPr>
              <w:t xml:space="preserve">, </w:t>
            </w:r>
            <w:r w:rsidRPr="00634B9F">
              <w:rPr>
                <w:rFonts w:ascii="Times New Roman" w:eastAsia="Courier New" w:hAnsi="Times New Roman" w:cs="Courier New"/>
                <w:spacing w:val="-8"/>
                <w:lang w:val="vi-VN" w:eastAsia="vi-VN"/>
              </w:rPr>
              <w:t>Đoàn ĐBQH và HĐND</w:t>
            </w:r>
            <w:r w:rsidRPr="00634B9F">
              <w:rPr>
                <w:rFonts w:ascii="Times New Roman" w:eastAsia="Courier New" w:hAnsi="Times New Roman" w:cs="Courier New"/>
                <w:spacing w:val="-8"/>
                <w:lang w:eastAsia="vi-VN"/>
              </w:rPr>
              <w:t>, UBND</w:t>
            </w:r>
            <w:r w:rsidRPr="00634B9F">
              <w:rPr>
                <w:rFonts w:ascii="Times New Roman" w:eastAsia="Courier New" w:hAnsi="Times New Roman" w:cs="Courier New"/>
                <w:spacing w:val="-8"/>
                <w:lang w:val="vi-VN" w:eastAsia="vi-VN"/>
              </w:rPr>
              <w:t xml:space="preserve"> Thành phố;</w:t>
            </w:r>
          </w:p>
          <w:p w14:paraId="2999DF9C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Th</w:t>
            </w:r>
            <w:r w:rsidRPr="00634B9F">
              <w:rPr>
                <w:rFonts w:ascii="Times New Roman" w:eastAsia="Courier New" w:hAnsi="Times New Roman" w:cs="Courier New" w:hint="eastAsia"/>
                <w:lang w:val="vi-VN" w:eastAsia="vi-VN"/>
              </w:rPr>
              <w:t>ư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 xml:space="preserve">ờng trực HĐND, UBND, UBMTTQVN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cấp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Courier New" w:hAnsi="Times New Roman" w:cs="Courier New"/>
                <w:lang w:eastAsia="vi-VN"/>
              </w:rPr>
              <w:t>xã</w:t>
            </w:r>
            <w:proofErr w:type="spellEnd"/>
            <w:r w:rsidRPr="00634B9F">
              <w:rPr>
                <w:rFonts w:ascii="Times New Roman" w:eastAsia="Courier New" w:hAnsi="Times New Roman" w:cs="Courier New"/>
                <w:lang w:eastAsia="vi-VN"/>
              </w:rPr>
              <w:t>;</w:t>
            </w:r>
          </w:p>
          <w:p w14:paraId="0F24301A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Trung tâm Thông tin điện tử Thành phố;</w:t>
            </w:r>
          </w:p>
          <w:p w14:paraId="7A561368" w14:textId="77777777" w:rsidR="00634B9F" w:rsidRPr="00634B9F" w:rsidRDefault="00634B9F" w:rsidP="00634B9F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lang w:val="vi-VN" w:eastAsia="vi-VN"/>
              </w:rPr>
            </w:pP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- Lưu: VT, (</w:t>
            </w:r>
            <w:r w:rsidRPr="00634B9F">
              <w:rPr>
                <w:rFonts w:ascii="Times New Roman" w:eastAsia="Courier New" w:hAnsi="Times New Roman" w:cs="Courier New"/>
                <w:lang w:eastAsia="vi-VN"/>
              </w:rPr>
              <w:t>PCTHĐND - Ly</w:t>
            </w:r>
            <w:r w:rsidRPr="00634B9F">
              <w:rPr>
                <w:rFonts w:ascii="Times New Roman" w:eastAsia="Courier New" w:hAnsi="Times New Roman" w:cs="Courier New"/>
                <w:lang w:val="vi-VN" w:eastAsia="vi-VN"/>
              </w:rPr>
              <w:t>).</w:t>
            </w:r>
          </w:p>
        </w:tc>
        <w:tc>
          <w:tcPr>
            <w:tcW w:w="4253" w:type="dxa"/>
          </w:tcPr>
          <w:p w14:paraId="5333854D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 xml:space="preserve">CHỦ TỊCH </w:t>
            </w:r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br/>
            </w:r>
          </w:p>
          <w:p w14:paraId="7A8DB303" w14:textId="77777777" w:rsidR="00634B9F" w:rsidRPr="00634B9F" w:rsidRDefault="00634B9F" w:rsidP="00634B9F">
            <w:pPr>
              <w:widowControl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</w:p>
          <w:p w14:paraId="29196457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 w:rsidRPr="00634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br/>
            </w:r>
          </w:p>
          <w:p w14:paraId="4E2B26F6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</w:p>
          <w:p w14:paraId="68827E89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proofErr w:type="spellStart"/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Võ</w:t>
            </w:r>
            <w:proofErr w:type="spellEnd"/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Văn</w:t>
            </w:r>
            <w:proofErr w:type="spellEnd"/>
            <w:r w:rsidRPr="00634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Minh</w:t>
            </w:r>
          </w:p>
          <w:p w14:paraId="713D3F6F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vi-VN" w:eastAsia="vi-VN"/>
              </w:rPr>
            </w:pPr>
            <w:r w:rsidRPr="00634B9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vi-VN" w:eastAsia="vi-VN"/>
              </w:rPr>
              <w:br/>
            </w:r>
          </w:p>
          <w:p w14:paraId="55B77438" w14:textId="77777777" w:rsidR="00634B9F" w:rsidRPr="00634B9F" w:rsidRDefault="00634B9F" w:rsidP="00634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vi-VN" w:eastAsia="vi-VN"/>
              </w:rPr>
            </w:pPr>
          </w:p>
        </w:tc>
      </w:tr>
    </w:tbl>
    <w:p w14:paraId="4826C87D" w14:textId="77777777" w:rsidR="0088131B" w:rsidRDefault="008813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31B" w:rsidSect="00762607">
      <w:headerReference w:type="default" r:id="rId9"/>
      <w:pgSz w:w="11907" w:h="16840" w:code="9"/>
      <w:pgMar w:top="1134" w:right="851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5EE5" w14:textId="77777777" w:rsidR="00E17FB5" w:rsidRDefault="00E17FB5">
      <w:pPr>
        <w:spacing w:line="240" w:lineRule="auto"/>
      </w:pPr>
      <w:r>
        <w:separator/>
      </w:r>
    </w:p>
  </w:endnote>
  <w:endnote w:type="continuationSeparator" w:id="0">
    <w:p w14:paraId="226292B0" w14:textId="77777777" w:rsidR="00E17FB5" w:rsidRDefault="00E17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0F5D0" w14:textId="77777777" w:rsidR="00E17FB5" w:rsidRDefault="00E17FB5">
      <w:pPr>
        <w:spacing w:after="0"/>
      </w:pPr>
      <w:r>
        <w:separator/>
      </w:r>
    </w:p>
  </w:footnote>
  <w:footnote w:type="continuationSeparator" w:id="0">
    <w:p w14:paraId="0E8E10B8" w14:textId="77777777" w:rsidR="00E17FB5" w:rsidRDefault="00E17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912973"/>
    </w:sdtPr>
    <w:sdtEndPr>
      <w:rPr>
        <w:rFonts w:ascii="Times New Roman" w:hAnsi="Times New Roman" w:cs="Times New Roman"/>
        <w:sz w:val="24"/>
        <w:szCs w:val="24"/>
      </w:rPr>
    </w:sdtEndPr>
    <w:sdtContent>
      <w:p w14:paraId="22FEAF23" w14:textId="0185462D" w:rsidR="0088131B" w:rsidRDefault="00BC7A7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48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C318"/>
    <w:multiLevelType w:val="singleLevel"/>
    <w:tmpl w:val="4568C3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F"/>
    <w:rsid w:val="0001357E"/>
    <w:rsid w:val="00014AFA"/>
    <w:rsid w:val="00015864"/>
    <w:rsid w:val="00025405"/>
    <w:rsid w:val="00030F65"/>
    <w:rsid w:val="00040B37"/>
    <w:rsid w:val="00042950"/>
    <w:rsid w:val="00065120"/>
    <w:rsid w:val="00073842"/>
    <w:rsid w:val="0008580D"/>
    <w:rsid w:val="000A01D1"/>
    <w:rsid w:val="000C298D"/>
    <w:rsid w:val="000C44AE"/>
    <w:rsid w:val="000C5299"/>
    <w:rsid w:val="000D7EC2"/>
    <w:rsid w:val="001032ED"/>
    <w:rsid w:val="001034DF"/>
    <w:rsid w:val="00116EED"/>
    <w:rsid w:val="001309D2"/>
    <w:rsid w:val="00140167"/>
    <w:rsid w:val="00150B90"/>
    <w:rsid w:val="00175C22"/>
    <w:rsid w:val="00183D0B"/>
    <w:rsid w:val="00184E09"/>
    <w:rsid w:val="00193A28"/>
    <w:rsid w:val="001A12D3"/>
    <w:rsid w:val="001A5E7A"/>
    <w:rsid w:val="001B1EF9"/>
    <w:rsid w:val="001D2842"/>
    <w:rsid w:val="001D46D4"/>
    <w:rsid w:val="001E6585"/>
    <w:rsid w:val="001F2AFD"/>
    <w:rsid w:val="001F4CA1"/>
    <w:rsid w:val="001F64F9"/>
    <w:rsid w:val="002002E6"/>
    <w:rsid w:val="002026D6"/>
    <w:rsid w:val="00211671"/>
    <w:rsid w:val="00222E55"/>
    <w:rsid w:val="00225C00"/>
    <w:rsid w:val="00230C43"/>
    <w:rsid w:val="00237E3A"/>
    <w:rsid w:val="0024752B"/>
    <w:rsid w:val="002612B6"/>
    <w:rsid w:val="002623C4"/>
    <w:rsid w:val="00263528"/>
    <w:rsid w:val="002642D8"/>
    <w:rsid w:val="00280512"/>
    <w:rsid w:val="0029524D"/>
    <w:rsid w:val="002962FA"/>
    <w:rsid w:val="002A0820"/>
    <w:rsid w:val="002A4350"/>
    <w:rsid w:val="002B3B54"/>
    <w:rsid w:val="002C1515"/>
    <w:rsid w:val="002E50E4"/>
    <w:rsid w:val="00305FAF"/>
    <w:rsid w:val="0031141D"/>
    <w:rsid w:val="003141B9"/>
    <w:rsid w:val="003164B1"/>
    <w:rsid w:val="00316985"/>
    <w:rsid w:val="003410A3"/>
    <w:rsid w:val="00341AC0"/>
    <w:rsid w:val="00343CEF"/>
    <w:rsid w:val="00367A08"/>
    <w:rsid w:val="00377F24"/>
    <w:rsid w:val="0038382A"/>
    <w:rsid w:val="00386C00"/>
    <w:rsid w:val="00387D37"/>
    <w:rsid w:val="003D7D5F"/>
    <w:rsid w:val="00403F63"/>
    <w:rsid w:val="00407BCB"/>
    <w:rsid w:val="00426E31"/>
    <w:rsid w:val="004439D6"/>
    <w:rsid w:val="00443C54"/>
    <w:rsid w:val="004446EF"/>
    <w:rsid w:val="00452F69"/>
    <w:rsid w:val="00456CAE"/>
    <w:rsid w:val="004659A4"/>
    <w:rsid w:val="00466C4F"/>
    <w:rsid w:val="00473C9B"/>
    <w:rsid w:val="004853C9"/>
    <w:rsid w:val="00492C24"/>
    <w:rsid w:val="0049406B"/>
    <w:rsid w:val="0049460D"/>
    <w:rsid w:val="00497EBA"/>
    <w:rsid w:val="004A41B1"/>
    <w:rsid w:val="004B0F09"/>
    <w:rsid w:val="004B7BF5"/>
    <w:rsid w:val="004D2CA0"/>
    <w:rsid w:val="004F3A4A"/>
    <w:rsid w:val="00504120"/>
    <w:rsid w:val="00511754"/>
    <w:rsid w:val="0051622C"/>
    <w:rsid w:val="00516A22"/>
    <w:rsid w:val="00521F3D"/>
    <w:rsid w:val="0053434F"/>
    <w:rsid w:val="00557C62"/>
    <w:rsid w:val="005604AB"/>
    <w:rsid w:val="00562689"/>
    <w:rsid w:val="00565662"/>
    <w:rsid w:val="00580563"/>
    <w:rsid w:val="00580D6C"/>
    <w:rsid w:val="00590E1E"/>
    <w:rsid w:val="00596641"/>
    <w:rsid w:val="005A2FFA"/>
    <w:rsid w:val="005A398C"/>
    <w:rsid w:val="005A6DD0"/>
    <w:rsid w:val="005B0975"/>
    <w:rsid w:val="005B1A1E"/>
    <w:rsid w:val="005B6BD5"/>
    <w:rsid w:val="005C0DF4"/>
    <w:rsid w:val="005C2156"/>
    <w:rsid w:val="005D15A0"/>
    <w:rsid w:val="005D4762"/>
    <w:rsid w:val="005E443E"/>
    <w:rsid w:val="00607D94"/>
    <w:rsid w:val="00613495"/>
    <w:rsid w:val="00616780"/>
    <w:rsid w:val="00617384"/>
    <w:rsid w:val="00634B9F"/>
    <w:rsid w:val="00647B90"/>
    <w:rsid w:val="00651ED8"/>
    <w:rsid w:val="00687902"/>
    <w:rsid w:val="006940B1"/>
    <w:rsid w:val="006B710C"/>
    <w:rsid w:val="006C30D9"/>
    <w:rsid w:val="006D0D47"/>
    <w:rsid w:val="006E00FC"/>
    <w:rsid w:val="00710C8C"/>
    <w:rsid w:val="007173FA"/>
    <w:rsid w:val="007175D4"/>
    <w:rsid w:val="0072522F"/>
    <w:rsid w:val="00730C33"/>
    <w:rsid w:val="007525DA"/>
    <w:rsid w:val="007527DB"/>
    <w:rsid w:val="00762607"/>
    <w:rsid w:val="00766DBC"/>
    <w:rsid w:val="007677B9"/>
    <w:rsid w:val="00781852"/>
    <w:rsid w:val="007829E8"/>
    <w:rsid w:val="00790C83"/>
    <w:rsid w:val="00791535"/>
    <w:rsid w:val="007923F7"/>
    <w:rsid w:val="007A539C"/>
    <w:rsid w:val="007A5F6D"/>
    <w:rsid w:val="007B71CE"/>
    <w:rsid w:val="007C64B8"/>
    <w:rsid w:val="007D4D72"/>
    <w:rsid w:val="007D69E2"/>
    <w:rsid w:val="007E2DE6"/>
    <w:rsid w:val="007F7267"/>
    <w:rsid w:val="008105CB"/>
    <w:rsid w:val="008114C1"/>
    <w:rsid w:val="00822EF7"/>
    <w:rsid w:val="0083701C"/>
    <w:rsid w:val="00840804"/>
    <w:rsid w:val="00841152"/>
    <w:rsid w:val="0085141C"/>
    <w:rsid w:val="00853D3C"/>
    <w:rsid w:val="00860A72"/>
    <w:rsid w:val="0087539B"/>
    <w:rsid w:val="0088131B"/>
    <w:rsid w:val="00892B90"/>
    <w:rsid w:val="008A46D7"/>
    <w:rsid w:val="008B1E0F"/>
    <w:rsid w:val="008B27BB"/>
    <w:rsid w:val="008B5136"/>
    <w:rsid w:val="008B7003"/>
    <w:rsid w:val="008D7545"/>
    <w:rsid w:val="008E72EE"/>
    <w:rsid w:val="008F1D7B"/>
    <w:rsid w:val="008F70DF"/>
    <w:rsid w:val="008F7F32"/>
    <w:rsid w:val="00920199"/>
    <w:rsid w:val="009210F8"/>
    <w:rsid w:val="009325A8"/>
    <w:rsid w:val="00932A4A"/>
    <w:rsid w:val="00936AF5"/>
    <w:rsid w:val="00945AD5"/>
    <w:rsid w:val="009477F2"/>
    <w:rsid w:val="00956E50"/>
    <w:rsid w:val="00970801"/>
    <w:rsid w:val="00972B07"/>
    <w:rsid w:val="00976C17"/>
    <w:rsid w:val="00983254"/>
    <w:rsid w:val="009840C6"/>
    <w:rsid w:val="0099103B"/>
    <w:rsid w:val="009B2AF2"/>
    <w:rsid w:val="009B3F5B"/>
    <w:rsid w:val="009D2D31"/>
    <w:rsid w:val="009E2794"/>
    <w:rsid w:val="00A04084"/>
    <w:rsid w:val="00A0783E"/>
    <w:rsid w:val="00A27CEA"/>
    <w:rsid w:val="00A373E7"/>
    <w:rsid w:val="00A63D09"/>
    <w:rsid w:val="00A8183D"/>
    <w:rsid w:val="00A8710D"/>
    <w:rsid w:val="00A913EE"/>
    <w:rsid w:val="00A94824"/>
    <w:rsid w:val="00AA3E1A"/>
    <w:rsid w:val="00AC29A0"/>
    <w:rsid w:val="00AC3A5B"/>
    <w:rsid w:val="00AE2E20"/>
    <w:rsid w:val="00AF3165"/>
    <w:rsid w:val="00B31A44"/>
    <w:rsid w:val="00B55376"/>
    <w:rsid w:val="00B6632E"/>
    <w:rsid w:val="00B811A5"/>
    <w:rsid w:val="00B86FA1"/>
    <w:rsid w:val="00B90048"/>
    <w:rsid w:val="00B95EFA"/>
    <w:rsid w:val="00BC1690"/>
    <w:rsid w:val="00BC2867"/>
    <w:rsid w:val="00BC7A70"/>
    <w:rsid w:val="00BD3AF1"/>
    <w:rsid w:val="00BD4998"/>
    <w:rsid w:val="00BE0FEE"/>
    <w:rsid w:val="00BF5B99"/>
    <w:rsid w:val="00C050A8"/>
    <w:rsid w:val="00C06984"/>
    <w:rsid w:val="00C3399C"/>
    <w:rsid w:val="00C35B03"/>
    <w:rsid w:val="00C70107"/>
    <w:rsid w:val="00C766C1"/>
    <w:rsid w:val="00C825EB"/>
    <w:rsid w:val="00C86DDF"/>
    <w:rsid w:val="00C95186"/>
    <w:rsid w:val="00CA5E1B"/>
    <w:rsid w:val="00CB2DD3"/>
    <w:rsid w:val="00CB4C50"/>
    <w:rsid w:val="00CB725C"/>
    <w:rsid w:val="00CD3C1D"/>
    <w:rsid w:val="00D04F76"/>
    <w:rsid w:val="00D06B1C"/>
    <w:rsid w:val="00D110A0"/>
    <w:rsid w:val="00D20291"/>
    <w:rsid w:val="00D2771E"/>
    <w:rsid w:val="00D42CD2"/>
    <w:rsid w:val="00D70D81"/>
    <w:rsid w:val="00D74746"/>
    <w:rsid w:val="00D8698F"/>
    <w:rsid w:val="00DB36E8"/>
    <w:rsid w:val="00DB46CC"/>
    <w:rsid w:val="00DC1FF0"/>
    <w:rsid w:val="00DC2176"/>
    <w:rsid w:val="00DC7239"/>
    <w:rsid w:val="00DE1168"/>
    <w:rsid w:val="00DF61E5"/>
    <w:rsid w:val="00E059D0"/>
    <w:rsid w:val="00E15F51"/>
    <w:rsid w:val="00E16E09"/>
    <w:rsid w:val="00E17FB5"/>
    <w:rsid w:val="00E223D6"/>
    <w:rsid w:val="00E22D21"/>
    <w:rsid w:val="00E33B22"/>
    <w:rsid w:val="00E51088"/>
    <w:rsid w:val="00E53188"/>
    <w:rsid w:val="00E6107B"/>
    <w:rsid w:val="00E778A4"/>
    <w:rsid w:val="00E900CF"/>
    <w:rsid w:val="00EB308F"/>
    <w:rsid w:val="00EC7DFB"/>
    <w:rsid w:val="00F07C53"/>
    <w:rsid w:val="00F22DF6"/>
    <w:rsid w:val="00F36A4B"/>
    <w:rsid w:val="00F443AE"/>
    <w:rsid w:val="00F4637E"/>
    <w:rsid w:val="00F52DDF"/>
    <w:rsid w:val="00F625EF"/>
    <w:rsid w:val="00F653AB"/>
    <w:rsid w:val="00F6644C"/>
    <w:rsid w:val="00F67900"/>
    <w:rsid w:val="00F76612"/>
    <w:rsid w:val="00F94BBF"/>
    <w:rsid w:val="00F959A0"/>
    <w:rsid w:val="00FA0427"/>
    <w:rsid w:val="00FA21FD"/>
    <w:rsid w:val="00FB1A51"/>
    <w:rsid w:val="00FB5412"/>
    <w:rsid w:val="00FD216A"/>
    <w:rsid w:val="00FF0F2C"/>
    <w:rsid w:val="00FF2790"/>
    <w:rsid w:val="00FF490E"/>
    <w:rsid w:val="00FF70D3"/>
    <w:rsid w:val="01C012ED"/>
    <w:rsid w:val="036D00AF"/>
    <w:rsid w:val="13BD55A4"/>
    <w:rsid w:val="162A24B0"/>
    <w:rsid w:val="1BAC102C"/>
    <w:rsid w:val="219742AC"/>
    <w:rsid w:val="2A753019"/>
    <w:rsid w:val="2F8559A4"/>
    <w:rsid w:val="317424AA"/>
    <w:rsid w:val="32572DCA"/>
    <w:rsid w:val="349008FF"/>
    <w:rsid w:val="35935EFB"/>
    <w:rsid w:val="36150A2A"/>
    <w:rsid w:val="50B61CD0"/>
    <w:rsid w:val="53972298"/>
    <w:rsid w:val="53FB534F"/>
    <w:rsid w:val="691D1308"/>
    <w:rsid w:val="6B0C1F77"/>
    <w:rsid w:val="7AC96B81"/>
    <w:rsid w:val="7C6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D6FE7C"/>
  <w15:docId w15:val="{0C73CB9C-BEC6-4888-A321-67B22F04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CharChar1">
    <w:name w:val="Char Char1"/>
    <w:basedOn w:val="Normal"/>
    <w:semiHidden/>
    <w:qFormat/>
    <w:pPr>
      <w:spacing w:line="240" w:lineRule="exact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van-hoa-xa-hoi/nghi-dinh-20-2021-nd-cp-chinh-sach-tro-giup-xa-hoi-doi-voi-doi-tuong-bao-tro-xa-hoi-46772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 phong</cp:lastModifiedBy>
  <cp:revision>15</cp:revision>
  <cp:lastPrinted>2025-10-14T01:22:00Z</cp:lastPrinted>
  <dcterms:created xsi:type="dcterms:W3CDTF">2025-11-04T11:25:00Z</dcterms:created>
  <dcterms:modified xsi:type="dcterms:W3CDTF">2025-11-13T06:25:00Z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4DFAA154BE9E46099BABC441B0656EAF_13</vt:lpwstr>
  </property>
</Properties>
</file>