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0" w:type="dxa"/>
        <w:tblInd w:w="-709" w:type="dxa"/>
        <w:tblCellMar>
          <w:left w:w="0" w:type="dxa"/>
          <w:right w:w="0" w:type="dxa"/>
        </w:tblCellMar>
        <w:tblLook w:val="0000" w:firstRow="0" w:lastRow="0" w:firstColumn="0" w:lastColumn="0" w:noHBand="0" w:noVBand="0"/>
      </w:tblPr>
      <w:tblGrid>
        <w:gridCol w:w="3970"/>
        <w:gridCol w:w="6300"/>
      </w:tblGrid>
      <w:tr w:rsidR="000524DF" w:rsidTr="00530420">
        <w:tc>
          <w:tcPr>
            <w:tcW w:w="3970" w:type="dxa"/>
            <w:tcBorders>
              <w:top w:val="nil"/>
              <w:left w:val="nil"/>
              <w:bottom w:val="nil"/>
              <w:right w:val="nil"/>
            </w:tcBorders>
            <w:tcMar>
              <w:top w:w="0" w:type="dxa"/>
              <w:left w:w="108" w:type="dxa"/>
              <w:bottom w:w="0" w:type="dxa"/>
              <w:right w:w="108" w:type="dxa"/>
            </w:tcMar>
          </w:tcPr>
          <w:p w:rsidR="000524DF" w:rsidRDefault="00A7076D">
            <w:pPr>
              <w:jc w:val="center"/>
              <w:rPr>
                <w:sz w:val="28"/>
                <w:szCs w:val="28"/>
              </w:rPr>
            </w:pPr>
            <w:r>
              <w:rPr>
                <w:b/>
                <w:bCs/>
                <w:noProof/>
                <w:sz w:val="28"/>
                <w:szCs w:val="28"/>
              </w:rPr>
              <mc:AlternateContent>
                <mc:Choice Requires="wps">
                  <w:drawing>
                    <wp:anchor distT="0" distB="0" distL="114300" distR="114300" simplePos="0" relativeHeight="251656704" behindDoc="0" locked="0" layoutInCell="1" allowOverlap="1">
                      <wp:simplePos x="0" y="0"/>
                      <wp:positionH relativeFrom="column">
                        <wp:posOffset>603250</wp:posOffset>
                      </wp:positionH>
                      <wp:positionV relativeFrom="paragraph">
                        <wp:posOffset>426720</wp:posOffset>
                      </wp:positionV>
                      <wp:extent cx="914400" cy="0"/>
                      <wp:effectExtent l="5080" t="13335" r="13970" b="5715"/>
                      <wp:wrapNone/>
                      <wp:docPr id="3"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749CE" id="Lines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33.6pt" to="11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7E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"/>
                  </w:pict>
                </mc:Fallback>
              </mc:AlternateContent>
            </w:r>
            <w:r w:rsidR="000524DF">
              <w:rPr>
                <w:b/>
                <w:bCs/>
                <w:sz w:val="28"/>
                <w:szCs w:val="28"/>
              </w:rPr>
              <w:t>HỘI ĐỒNG NHÂN DÂN</w:t>
            </w:r>
            <w:r w:rsidR="000524DF">
              <w:rPr>
                <w:b/>
                <w:bCs/>
                <w:sz w:val="28"/>
                <w:szCs w:val="28"/>
              </w:rPr>
              <w:br/>
              <w:t>THÀNH PHỐ HỒ CHÍ MINH</w:t>
            </w:r>
            <w:r w:rsidR="000524DF">
              <w:rPr>
                <w:b/>
                <w:bCs/>
                <w:sz w:val="28"/>
                <w:szCs w:val="28"/>
                <w:lang w:val="vi-VN"/>
              </w:rPr>
              <w:br/>
            </w:r>
          </w:p>
        </w:tc>
        <w:tc>
          <w:tcPr>
            <w:tcW w:w="6300" w:type="dxa"/>
            <w:tcBorders>
              <w:top w:val="nil"/>
              <w:left w:val="nil"/>
              <w:bottom w:val="nil"/>
              <w:right w:val="nil"/>
            </w:tcBorders>
            <w:tcMar>
              <w:top w:w="0" w:type="dxa"/>
              <w:left w:w="108" w:type="dxa"/>
              <w:bottom w:w="0" w:type="dxa"/>
              <w:right w:w="108" w:type="dxa"/>
            </w:tcMar>
          </w:tcPr>
          <w:p w:rsidR="000524DF" w:rsidRDefault="00A7076D">
            <w:pPr>
              <w:jc w:val="center"/>
              <w:rPr>
                <w:sz w:val="28"/>
                <w:szCs w:val="28"/>
              </w:rPr>
            </w:pPr>
            <w:r>
              <w:rPr>
                <w:b/>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1049655</wp:posOffset>
                      </wp:positionH>
                      <wp:positionV relativeFrom="paragraph">
                        <wp:posOffset>436245</wp:posOffset>
                      </wp:positionV>
                      <wp:extent cx="2095500" cy="0"/>
                      <wp:effectExtent l="10160" t="13335" r="8890" b="5715"/>
                      <wp:wrapNone/>
                      <wp:docPr id="2" name="Line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F4DA" id="Lines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5pt,34.35pt" to="247.6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Ow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"/>
                  </w:pict>
                </mc:Fallback>
              </mc:AlternateContent>
            </w:r>
            <w:r w:rsidR="000524DF">
              <w:rPr>
                <w:b/>
                <w:bCs/>
                <w:sz w:val="28"/>
                <w:szCs w:val="28"/>
                <w:lang w:val="vi-VN"/>
              </w:rPr>
              <w:t>CỘNG HÒA XÃ HỘI CHỦ NGHĨA VIỆT NAM</w:t>
            </w:r>
            <w:r w:rsidR="000524DF">
              <w:rPr>
                <w:b/>
                <w:bCs/>
                <w:sz w:val="28"/>
                <w:szCs w:val="28"/>
                <w:lang w:val="vi-VN"/>
              </w:rPr>
              <w:br/>
            </w:r>
            <w:r w:rsidR="000524DF">
              <w:rPr>
                <w:b/>
                <w:bCs/>
                <w:sz w:val="28"/>
                <w:szCs w:val="28"/>
              </w:rPr>
              <w:t xml:space="preserve">        </w:t>
            </w:r>
            <w:r w:rsidR="000524DF">
              <w:rPr>
                <w:b/>
                <w:bCs/>
                <w:sz w:val="28"/>
                <w:szCs w:val="28"/>
                <w:lang w:val="vi-VN"/>
              </w:rPr>
              <w:t xml:space="preserve">Độc lập - Tự do - Hạnh phúc </w:t>
            </w:r>
            <w:r w:rsidR="000524DF">
              <w:rPr>
                <w:b/>
                <w:bCs/>
                <w:sz w:val="28"/>
                <w:szCs w:val="28"/>
                <w:lang w:val="vi-VN"/>
              </w:rPr>
              <w:br/>
            </w:r>
          </w:p>
        </w:tc>
      </w:tr>
      <w:tr w:rsidR="000524DF" w:rsidTr="00530420">
        <w:tc>
          <w:tcPr>
            <w:tcW w:w="3970" w:type="dxa"/>
            <w:tcBorders>
              <w:top w:val="nil"/>
              <w:left w:val="nil"/>
              <w:bottom w:val="nil"/>
              <w:right w:val="nil"/>
            </w:tcBorders>
            <w:tcMar>
              <w:top w:w="0" w:type="dxa"/>
              <w:left w:w="108" w:type="dxa"/>
              <w:bottom w:w="0" w:type="dxa"/>
              <w:right w:w="108" w:type="dxa"/>
            </w:tcMar>
          </w:tcPr>
          <w:p w:rsidR="000524DF" w:rsidRDefault="000524DF">
            <w:pPr>
              <w:jc w:val="center"/>
              <w:rPr>
                <w:sz w:val="26"/>
                <w:szCs w:val="26"/>
              </w:rPr>
            </w:pPr>
            <w:r>
              <w:rPr>
                <w:sz w:val="26"/>
                <w:szCs w:val="26"/>
                <w:lang w:val="vi-VN"/>
              </w:rPr>
              <w:t xml:space="preserve">Số:         </w:t>
            </w:r>
            <w:r>
              <w:rPr>
                <w:sz w:val="26"/>
                <w:szCs w:val="26"/>
              </w:rPr>
              <w:t>/2025/NQ-HĐND</w:t>
            </w:r>
          </w:p>
        </w:tc>
        <w:tc>
          <w:tcPr>
            <w:tcW w:w="6300" w:type="dxa"/>
            <w:tcBorders>
              <w:top w:val="nil"/>
              <w:left w:val="nil"/>
              <w:bottom w:val="nil"/>
              <w:right w:val="nil"/>
            </w:tcBorders>
            <w:tcMar>
              <w:top w:w="0" w:type="dxa"/>
              <w:left w:w="108" w:type="dxa"/>
              <w:bottom w:w="0" w:type="dxa"/>
              <w:right w:w="108" w:type="dxa"/>
            </w:tcMar>
          </w:tcPr>
          <w:p w:rsidR="000524DF" w:rsidRDefault="00530420" w:rsidP="00530420">
            <w:pPr>
              <w:jc w:val="both"/>
              <w:rPr>
                <w:sz w:val="26"/>
                <w:szCs w:val="26"/>
              </w:rPr>
            </w:pPr>
            <w:r>
              <w:rPr>
                <w:i/>
                <w:iCs/>
                <w:sz w:val="26"/>
                <w:szCs w:val="26"/>
              </w:rPr>
              <w:t xml:space="preserve">   </w:t>
            </w:r>
            <w:r w:rsidR="000524DF">
              <w:rPr>
                <w:i/>
                <w:iCs/>
                <w:sz w:val="26"/>
                <w:szCs w:val="26"/>
              </w:rPr>
              <w:t>Thành phố Hồ Chí Minh</w:t>
            </w:r>
            <w:r>
              <w:rPr>
                <w:i/>
                <w:iCs/>
                <w:sz w:val="26"/>
                <w:szCs w:val="26"/>
                <w:lang w:val="vi-VN"/>
              </w:rPr>
              <w:t xml:space="preserve">, ngày </w:t>
            </w:r>
            <w:r>
              <w:rPr>
                <w:i/>
                <w:iCs/>
                <w:sz w:val="26"/>
                <w:szCs w:val="26"/>
              </w:rPr>
              <w:t xml:space="preserve">14 </w:t>
            </w:r>
            <w:r w:rsidR="000524DF">
              <w:rPr>
                <w:i/>
                <w:iCs/>
                <w:sz w:val="26"/>
                <w:szCs w:val="26"/>
                <w:lang w:val="vi-VN"/>
              </w:rPr>
              <w:t>tháng</w:t>
            </w:r>
            <w:r>
              <w:rPr>
                <w:i/>
                <w:iCs/>
                <w:sz w:val="26"/>
                <w:szCs w:val="26"/>
              </w:rPr>
              <w:t xml:space="preserve"> 11 </w:t>
            </w:r>
            <w:r w:rsidR="000524DF">
              <w:rPr>
                <w:i/>
                <w:iCs/>
                <w:sz w:val="26"/>
                <w:szCs w:val="26"/>
                <w:lang w:val="vi-VN"/>
              </w:rPr>
              <w:t xml:space="preserve">năm </w:t>
            </w:r>
            <w:r w:rsidR="000524DF">
              <w:rPr>
                <w:i/>
                <w:iCs/>
                <w:sz w:val="26"/>
                <w:szCs w:val="26"/>
              </w:rPr>
              <w:t>2025</w:t>
            </w:r>
          </w:p>
        </w:tc>
      </w:tr>
    </w:tbl>
    <w:p w:rsidR="000524DF" w:rsidRDefault="000524DF">
      <w:pPr>
        <w:jc w:val="center"/>
        <w:rPr>
          <w:sz w:val="20"/>
        </w:rPr>
      </w:pPr>
    </w:p>
    <w:bookmarkStart w:id="0" w:name="loai_1"/>
    <w:p w:rsidR="000524DF" w:rsidRDefault="009A2AB6">
      <w:pPr>
        <w:jc w:val="center"/>
        <w:rPr>
          <w:b/>
          <w:bCs/>
          <w:sz w:val="28"/>
          <w:szCs w:val="28"/>
        </w:rPr>
      </w:pPr>
      <w:r>
        <w:rPr>
          <w:b/>
          <w:bCs/>
          <w:noProof/>
          <w:sz w:val="28"/>
          <w:szCs w:val="28"/>
        </w:rPr>
        <mc:AlternateContent>
          <mc:Choice Requires="wps">
            <w:drawing>
              <wp:anchor distT="0" distB="0" distL="114300" distR="114300" simplePos="0" relativeHeight="251658752" behindDoc="0" locked="0" layoutInCell="1" allowOverlap="1" wp14:anchorId="5CA9F49F" wp14:editId="7F1A6980">
                <wp:simplePos x="0" y="0"/>
                <wp:positionH relativeFrom="column">
                  <wp:posOffset>520065</wp:posOffset>
                </wp:positionH>
                <wp:positionV relativeFrom="paragraph">
                  <wp:posOffset>6985</wp:posOffset>
                </wp:positionV>
                <wp:extent cx="1000125" cy="304800"/>
                <wp:effectExtent l="0" t="0" r="28575"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4800"/>
                        </a:xfrm>
                        <a:prstGeom prst="rect">
                          <a:avLst/>
                        </a:prstGeom>
                        <a:solidFill>
                          <a:srgbClr val="FFFFFF"/>
                        </a:solidFill>
                        <a:ln w="9525">
                          <a:solidFill>
                            <a:srgbClr val="000000"/>
                          </a:solidFill>
                          <a:miter lim="800000"/>
                          <a:headEnd/>
                          <a:tailEnd/>
                        </a:ln>
                      </wps:spPr>
                      <wps:txbx>
                        <w:txbxContent>
                          <w:p w:rsidR="000524DF" w:rsidRDefault="000524DF">
                            <w:pPr>
                              <w:spacing w:before="60" w:after="120"/>
                              <w:jc w:val="center"/>
                              <w:rPr>
                                <w:b/>
                                <w:bCs/>
                                <w:sz w:val="25"/>
                                <w:szCs w:val="25"/>
                              </w:rPr>
                            </w:pPr>
                            <w:r>
                              <w:rPr>
                                <w:b/>
                                <w:bCs/>
                                <w:sz w:val="25"/>
                                <w:szCs w:val="25"/>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9F49F" id="_x0000_t202" coordsize="21600,21600" o:spt="202" path="m,l,21600r21600,l21600,xe">
                <v:stroke joinstyle="miter"/>
                <v:path gradientshapeok="t" o:connecttype="rect"/>
              </v:shapetype>
              <v:shape id="Text Box 11" o:spid="_x0000_s1026" type="#_x0000_t202" style="position:absolute;left:0;text-align:left;margin-left:40.95pt;margin-top:.55pt;width:78.7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">
                <v:textbox>
                  <w:txbxContent>
                    <w:p w:rsidR="000524DF" w:rsidRDefault="000524DF">
                      <w:pPr>
                        <w:spacing w:before="60" w:after="120"/>
                        <w:jc w:val="center"/>
                        <w:rPr>
                          <w:b/>
                          <w:bCs/>
                          <w:sz w:val="25"/>
                          <w:szCs w:val="25"/>
                        </w:rPr>
                      </w:pPr>
                      <w:r>
                        <w:rPr>
                          <w:b/>
                          <w:bCs/>
                          <w:sz w:val="25"/>
                          <w:szCs w:val="25"/>
                        </w:rPr>
                        <w:t>DỰ THẢO</w:t>
                      </w:r>
                    </w:p>
                  </w:txbxContent>
                </v:textbox>
              </v:shape>
            </w:pict>
          </mc:Fallback>
        </mc:AlternateContent>
      </w:r>
    </w:p>
    <w:p w:rsidR="000524DF" w:rsidRDefault="000524DF">
      <w:pPr>
        <w:jc w:val="center"/>
        <w:rPr>
          <w:b/>
          <w:bCs/>
          <w:sz w:val="28"/>
          <w:szCs w:val="28"/>
        </w:rPr>
      </w:pPr>
      <w:r>
        <w:rPr>
          <w:b/>
          <w:bCs/>
          <w:sz w:val="28"/>
          <w:szCs w:val="28"/>
          <w:lang w:val="vi-VN"/>
        </w:rPr>
        <w:t>NGHỊ QUYẾT</w:t>
      </w:r>
      <w:bookmarkEnd w:id="0"/>
    </w:p>
    <w:p w:rsidR="000524DF" w:rsidRDefault="000524DF">
      <w:pPr>
        <w:ind w:right="-108"/>
        <w:jc w:val="center"/>
        <w:rPr>
          <w:b/>
          <w:sz w:val="28"/>
        </w:rPr>
      </w:pPr>
      <w:r>
        <w:rPr>
          <w:b/>
          <w:sz w:val="28"/>
        </w:rPr>
        <w:t xml:space="preserve">Quy định chính sách hỗ trợ chế độ điều dưỡng, hội nghị, tham quan, </w:t>
      </w:r>
    </w:p>
    <w:p w:rsidR="000524DF" w:rsidRDefault="000524DF">
      <w:pPr>
        <w:ind w:right="-108"/>
        <w:jc w:val="center"/>
        <w:rPr>
          <w:b/>
          <w:sz w:val="28"/>
        </w:rPr>
      </w:pPr>
      <w:r>
        <w:rPr>
          <w:b/>
          <w:sz w:val="28"/>
        </w:rPr>
        <w:t>về nguồn đối với người có công với cách mạng và thân nhân liệt sĩ</w:t>
      </w:r>
    </w:p>
    <w:p w:rsidR="000524DF" w:rsidRDefault="000524DF">
      <w:pPr>
        <w:ind w:right="-108"/>
        <w:jc w:val="center"/>
        <w:rPr>
          <w:iCs/>
          <w:sz w:val="28"/>
        </w:rPr>
      </w:pPr>
      <w:r>
        <w:rPr>
          <w:b/>
          <w:sz w:val="28"/>
        </w:rPr>
        <w:t xml:space="preserve"> trên địa bàn Thành phố Hồ Chí Minh</w:t>
      </w:r>
    </w:p>
    <w:p w:rsidR="000524DF" w:rsidRDefault="000524DF">
      <w:pPr>
        <w:jc w:val="center"/>
        <w:rPr>
          <w:b/>
          <w:bCs/>
          <w:sz w:val="28"/>
          <w:szCs w:val="28"/>
        </w:rPr>
      </w:pPr>
    </w:p>
    <w:p w:rsidR="008F2331" w:rsidRDefault="000524DF" w:rsidP="00817160">
      <w:pPr>
        <w:widowControl w:val="0"/>
        <w:tabs>
          <w:tab w:val="right" w:leader="dot" w:pos="7920"/>
        </w:tabs>
        <w:spacing w:before="120"/>
        <w:ind w:firstLineChars="202" w:firstLine="566"/>
        <w:jc w:val="both"/>
        <w:rPr>
          <w:i/>
          <w:iCs/>
          <w:sz w:val="28"/>
          <w:szCs w:val="28"/>
        </w:rPr>
      </w:pPr>
      <w:r>
        <w:rPr>
          <w:i/>
          <w:iCs/>
          <w:sz w:val="28"/>
          <w:szCs w:val="28"/>
        </w:rPr>
        <w:t>Căn cứ Luật Tổ chức chính quyền địa phương số</w:t>
      </w:r>
      <w:r w:rsidR="00DD6268">
        <w:rPr>
          <w:i/>
          <w:iCs/>
          <w:sz w:val="28"/>
          <w:szCs w:val="28"/>
        </w:rPr>
        <w:t xml:space="preserve"> 72/2025/QH15</w:t>
      </w:r>
      <w:r w:rsidR="008F2331">
        <w:rPr>
          <w:i/>
          <w:iCs/>
          <w:sz w:val="28"/>
          <w:szCs w:val="28"/>
        </w:rPr>
        <w:t>;</w:t>
      </w:r>
    </w:p>
    <w:p w:rsidR="001C7161" w:rsidRDefault="00DD6268" w:rsidP="00817160">
      <w:pPr>
        <w:widowControl w:val="0"/>
        <w:tabs>
          <w:tab w:val="right" w:leader="dot" w:pos="7920"/>
        </w:tabs>
        <w:spacing w:before="120"/>
        <w:ind w:firstLineChars="202" w:firstLine="566"/>
        <w:jc w:val="both"/>
        <w:rPr>
          <w:i/>
          <w:sz w:val="28"/>
          <w:szCs w:val="28"/>
        </w:rPr>
      </w:pPr>
      <w:r w:rsidRPr="006E4C47">
        <w:rPr>
          <w:i/>
          <w:sz w:val="28"/>
          <w:szCs w:val="28"/>
        </w:rPr>
        <w:t xml:space="preserve">Căn cứ Luật Ban hành văn bản quy phạm pháp luật </w:t>
      </w:r>
      <w:r w:rsidRPr="006E4C47">
        <w:rPr>
          <w:i/>
          <w:iCs/>
          <w:sz w:val="28"/>
          <w:szCs w:val="28"/>
        </w:rPr>
        <w:t>số 64/2025/QH15</w:t>
      </w:r>
      <w:r w:rsidR="00817160">
        <w:rPr>
          <w:i/>
          <w:iCs/>
          <w:sz w:val="28"/>
          <w:szCs w:val="28"/>
        </w:rPr>
        <w:t>,</w:t>
      </w:r>
      <w:r w:rsidRPr="006E4C47">
        <w:rPr>
          <w:i/>
          <w:iCs/>
          <w:sz w:val="28"/>
          <w:szCs w:val="28"/>
        </w:rPr>
        <w:t xml:space="preserve"> được sửa đổi, bổ sung bởi Luật số 87/2025/QH15</w:t>
      </w:r>
      <w:r w:rsidRPr="006E4C47">
        <w:rPr>
          <w:i/>
          <w:sz w:val="28"/>
          <w:szCs w:val="28"/>
        </w:rPr>
        <w:t>;</w:t>
      </w:r>
    </w:p>
    <w:p w:rsidR="001C7161" w:rsidRPr="001C7161" w:rsidRDefault="001C7161" w:rsidP="00817160">
      <w:pPr>
        <w:widowControl w:val="0"/>
        <w:tabs>
          <w:tab w:val="right" w:leader="dot" w:pos="7920"/>
        </w:tabs>
        <w:spacing w:before="120"/>
        <w:ind w:firstLineChars="202" w:firstLine="566"/>
        <w:jc w:val="both"/>
        <w:rPr>
          <w:i/>
          <w:sz w:val="28"/>
          <w:szCs w:val="28"/>
        </w:rPr>
      </w:pPr>
      <w:r w:rsidRPr="001C7161">
        <w:rPr>
          <w:rFonts w:eastAsia="Times New Roman"/>
          <w:i/>
          <w:sz w:val="28"/>
          <w:szCs w:val="28"/>
          <w:lang w:val="nl-NL"/>
        </w:rPr>
        <w:t>Căn cứ Luật Ngân sách nhà nước số 83/2015/QH13 được sửa đổi, bổ sung bởi Luật số 56/2024/QH15;</w:t>
      </w:r>
    </w:p>
    <w:p w:rsidR="000524DF" w:rsidRDefault="000524DF" w:rsidP="00817160">
      <w:pPr>
        <w:spacing w:before="120"/>
        <w:ind w:firstLineChars="202" w:firstLine="566"/>
        <w:jc w:val="both"/>
        <w:rPr>
          <w:i/>
          <w:iCs/>
          <w:sz w:val="28"/>
          <w:szCs w:val="28"/>
        </w:rPr>
      </w:pPr>
      <w:r>
        <w:rPr>
          <w:i/>
          <w:sz w:val="28"/>
          <w:szCs w:val="28"/>
        </w:rPr>
        <w:t>Căn cứ Nghị quyết số 202/2025/QH15 của Quốc hội về việc sắp xếp đơn vị hành chính cấp tỉnh;</w:t>
      </w:r>
    </w:p>
    <w:p w:rsidR="000524DF" w:rsidRDefault="000524DF" w:rsidP="00817160">
      <w:pPr>
        <w:widowControl w:val="0"/>
        <w:tabs>
          <w:tab w:val="right" w:leader="dot" w:pos="7920"/>
        </w:tabs>
        <w:spacing w:before="120"/>
        <w:ind w:firstLineChars="202" w:firstLine="566"/>
        <w:jc w:val="both"/>
        <w:rPr>
          <w:i/>
          <w:iCs/>
          <w:color w:val="000000"/>
          <w:sz w:val="28"/>
          <w:szCs w:val="28"/>
          <w:shd w:val="clear" w:color="auto" w:fill="FFFFFF"/>
        </w:rPr>
      </w:pPr>
      <w:r>
        <w:rPr>
          <w:i/>
          <w:iCs/>
          <w:sz w:val="28"/>
          <w:szCs w:val="28"/>
        </w:rPr>
        <w:t>Căn cứ Pháp lệ</w:t>
      </w:r>
      <w:r w:rsidR="00817160">
        <w:rPr>
          <w:i/>
          <w:iCs/>
          <w:sz w:val="28"/>
          <w:szCs w:val="28"/>
        </w:rPr>
        <w:t>nh Ưu</w:t>
      </w:r>
      <w:r>
        <w:rPr>
          <w:i/>
          <w:iCs/>
          <w:sz w:val="28"/>
          <w:szCs w:val="28"/>
        </w:rPr>
        <w:t xml:space="preserve"> đãi người có công với cách mạng</w:t>
      </w:r>
      <w:r>
        <w:rPr>
          <w:i/>
          <w:iCs/>
          <w:color w:val="000000"/>
          <w:sz w:val="28"/>
          <w:szCs w:val="28"/>
          <w:shd w:val="clear" w:color="auto" w:fill="FFFFFF"/>
        </w:rPr>
        <w:t>;</w:t>
      </w:r>
    </w:p>
    <w:p w:rsidR="00817160" w:rsidRDefault="00817160" w:rsidP="00817160">
      <w:pPr>
        <w:widowControl w:val="0"/>
        <w:tabs>
          <w:tab w:val="right" w:leader="dot" w:pos="7920"/>
        </w:tabs>
        <w:spacing w:before="120"/>
        <w:ind w:firstLineChars="202" w:firstLine="566"/>
        <w:jc w:val="both"/>
        <w:rPr>
          <w:i/>
          <w:iCs/>
          <w:color w:val="000000"/>
          <w:sz w:val="28"/>
          <w:szCs w:val="28"/>
          <w:shd w:val="clear" w:color="auto" w:fill="FFFFFF"/>
        </w:rPr>
      </w:pPr>
      <w:r>
        <w:rPr>
          <w:i/>
          <w:iCs/>
          <w:color w:val="000000"/>
          <w:sz w:val="28"/>
          <w:szCs w:val="28"/>
          <w:shd w:val="clear" w:color="auto" w:fill="FFFFFF"/>
        </w:rPr>
        <w:t>Căn cứ Nghị định số 163/2016/NĐ-CP của Chính phủ quy định chi tiết thi hành một số điều của Luật Ngân sách nhà nước;</w:t>
      </w:r>
    </w:p>
    <w:p w:rsidR="000524DF" w:rsidRDefault="000524DF" w:rsidP="00817160">
      <w:pPr>
        <w:spacing w:before="120"/>
        <w:ind w:firstLineChars="202" w:firstLine="566"/>
        <w:jc w:val="both"/>
        <w:rPr>
          <w:i/>
          <w:iCs/>
          <w:sz w:val="28"/>
          <w:szCs w:val="28"/>
          <w:lang w:val="vi-VN"/>
        </w:rPr>
      </w:pPr>
      <w:r>
        <w:rPr>
          <w:i/>
          <w:iCs/>
          <w:sz w:val="28"/>
          <w:szCs w:val="28"/>
          <w:lang w:val="vi-VN"/>
        </w:rPr>
        <w:t xml:space="preserve">Căn cứ </w:t>
      </w:r>
      <w:r>
        <w:rPr>
          <w:bCs/>
          <w:i/>
          <w:iCs/>
          <w:sz w:val="28"/>
          <w:szCs w:val="28"/>
        </w:rPr>
        <w:t xml:space="preserve">Nghị định số 84/2024/NĐ-CP </w:t>
      </w:r>
      <w:r>
        <w:rPr>
          <w:bCs/>
          <w:i/>
          <w:iCs/>
          <w:sz w:val="28"/>
          <w:szCs w:val="28"/>
          <w:lang w:val="pt-BR"/>
        </w:rPr>
        <w:t>của Chính phủ về thí điểm phân cấp quản lý nhà nước một số lĩnh vực cho chính quyền Thành phố Hồ Chí Minh</w:t>
      </w:r>
      <w:r>
        <w:rPr>
          <w:i/>
          <w:iCs/>
          <w:sz w:val="28"/>
          <w:szCs w:val="28"/>
          <w:lang w:val="vi-VN"/>
        </w:rPr>
        <w:t>;</w:t>
      </w:r>
    </w:p>
    <w:p w:rsidR="000524DF" w:rsidRDefault="000524DF" w:rsidP="00817160">
      <w:pPr>
        <w:widowControl w:val="0"/>
        <w:tabs>
          <w:tab w:val="right" w:leader="dot" w:pos="7920"/>
        </w:tabs>
        <w:spacing w:before="120"/>
        <w:ind w:firstLineChars="202" w:firstLine="566"/>
        <w:jc w:val="both"/>
        <w:rPr>
          <w:i/>
          <w:iCs/>
          <w:sz w:val="28"/>
          <w:szCs w:val="28"/>
        </w:rPr>
      </w:pPr>
      <w:bookmarkStart w:id="1" w:name="dieu_1"/>
      <w:r>
        <w:rPr>
          <w:i/>
          <w:iCs/>
          <w:sz w:val="28"/>
          <w:szCs w:val="28"/>
        </w:rPr>
        <w:t xml:space="preserve">Xét Tờ trình số </w:t>
      </w:r>
      <w:r w:rsidR="00823B0F" w:rsidRPr="00823B0F">
        <w:rPr>
          <w:i/>
          <w:iCs/>
          <w:sz w:val="28"/>
          <w:szCs w:val="28"/>
        </w:rPr>
        <w:t xml:space="preserve">698/TTr-UBND ngày 03 tháng 11 năm 2025 </w:t>
      </w:r>
      <w:r>
        <w:rPr>
          <w:i/>
          <w:iCs/>
          <w:sz w:val="28"/>
          <w:szCs w:val="28"/>
        </w:rPr>
        <w:t>của Ủy ban nhân dân Thành phố Hồ Chí Minh</w:t>
      </w:r>
      <w:r w:rsidR="001C7161">
        <w:rPr>
          <w:i/>
          <w:iCs/>
          <w:sz w:val="28"/>
          <w:szCs w:val="28"/>
        </w:rPr>
        <w:t xml:space="preserve"> </w:t>
      </w:r>
      <w:r w:rsidR="001C7161" w:rsidRPr="00530420">
        <w:rPr>
          <w:i/>
          <w:iCs/>
          <w:sz w:val="28"/>
          <w:szCs w:val="28"/>
        </w:rPr>
        <w:t>về</w:t>
      </w:r>
      <w:r w:rsidR="001C7161" w:rsidRPr="00530420">
        <w:t xml:space="preserve"> </w:t>
      </w:r>
      <w:r w:rsidR="001C7161" w:rsidRPr="00530420">
        <w:rPr>
          <w:i/>
          <w:iCs/>
          <w:sz w:val="28"/>
          <w:szCs w:val="28"/>
        </w:rPr>
        <w:t>quy định chính sách hỗ trợ chế độ điều dưỡng, hội nghị, tham quan, về nguồn đối với người có công với cách mạng và thân nhân liệt sĩ trên địa bàn Thành phố Hồ Chí Minh</w:t>
      </w:r>
      <w:r w:rsidRPr="00530420">
        <w:rPr>
          <w:i/>
          <w:iCs/>
          <w:sz w:val="28"/>
          <w:szCs w:val="28"/>
        </w:rPr>
        <w:t>; Báo cáo thẩm tra số</w:t>
      </w:r>
      <w:r w:rsidR="00934AC4">
        <w:rPr>
          <w:i/>
          <w:iCs/>
          <w:sz w:val="28"/>
          <w:szCs w:val="28"/>
        </w:rPr>
        <w:t xml:space="preserve"> 751</w:t>
      </w:r>
      <w:r w:rsidRPr="00530420">
        <w:rPr>
          <w:i/>
          <w:iCs/>
          <w:sz w:val="28"/>
          <w:szCs w:val="28"/>
        </w:rPr>
        <w:t>/BC-</w:t>
      </w:r>
      <w:r w:rsidR="00823B0F">
        <w:rPr>
          <w:i/>
          <w:iCs/>
          <w:sz w:val="28"/>
          <w:szCs w:val="28"/>
        </w:rPr>
        <w:t>BVHXH</w:t>
      </w:r>
      <w:r w:rsidR="00934AC4">
        <w:rPr>
          <w:i/>
          <w:iCs/>
          <w:sz w:val="28"/>
          <w:szCs w:val="28"/>
        </w:rPr>
        <w:t xml:space="preserve"> ngày 13 </w:t>
      </w:r>
      <w:bookmarkStart w:id="2" w:name="_GoBack"/>
      <w:bookmarkEnd w:id="2"/>
      <w:r w:rsidRPr="00530420">
        <w:rPr>
          <w:i/>
          <w:iCs/>
          <w:sz w:val="28"/>
          <w:szCs w:val="28"/>
        </w:rPr>
        <w:t xml:space="preserve">tháng </w:t>
      </w:r>
      <w:r w:rsidR="00823B0F">
        <w:rPr>
          <w:i/>
          <w:iCs/>
          <w:sz w:val="28"/>
          <w:szCs w:val="28"/>
        </w:rPr>
        <w:t>11</w:t>
      </w:r>
      <w:r w:rsidRPr="00530420">
        <w:rPr>
          <w:i/>
          <w:iCs/>
          <w:sz w:val="28"/>
          <w:szCs w:val="28"/>
        </w:rPr>
        <w:t xml:space="preserve"> năm 2025 của Ban Văn hóa </w:t>
      </w:r>
      <w:r w:rsidR="001C7161" w:rsidRPr="00530420">
        <w:rPr>
          <w:i/>
          <w:iCs/>
          <w:sz w:val="28"/>
          <w:szCs w:val="28"/>
        </w:rPr>
        <w:t>-</w:t>
      </w:r>
      <w:r w:rsidRPr="00530420">
        <w:rPr>
          <w:i/>
          <w:iCs/>
          <w:sz w:val="28"/>
          <w:szCs w:val="28"/>
        </w:rPr>
        <w:t xml:space="preserve"> </w:t>
      </w:r>
      <w:r>
        <w:rPr>
          <w:i/>
          <w:iCs/>
          <w:sz w:val="28"/>
          <w:szCs w:val="28"/>
        </w:rPr>
        <w:t>Xã hội Hội đồng nhân dân Thành phố; ý kiến thảo luận của đại biểu Hội đồng nhân dân Thành phố tại kỳ họp;</w:t>
      </w:r>
    </w:p>
    <w:p w:rsidR="000524DF" w:rsidRDefault="000524DF" w:rsidP="00817160">
      <w:pPr>
        <w:shd w:val="clear" w:color="auto" w:fill="FFFFFF"/>
        <w:spacing w:before="120"/>
        <w:ind w:firstLineChars="202" w:firstLine="566"/>
        <w:jc w:val="both"/>
        <w:outlineLvl w:val="1"/>
        <w:rPr>
          <w:i/>
          <w:iCs/>
          <w:sz w:val="28"/>
          <w:szCs w:val="28"/>
        </w:rPr>
      </w:pPr>
      <w:r>
        <w:rPr>
          <w:i/>
          <w:iCs/>
          <w:sz w:val="28"/>
          <w:szCs w:val="28"/>
        </w:rPr>
        <w:t xml:space="preserve">Hội đồng nhân dân Thành phố ban hành Nghị quyết quy định </w:t>
      </w:r>
      <w:r>
        <w:rPr>
          <w:i/>
          <w:iCs/>
          <w:spacing w:val="-6"/>
          <w:sz w:val="28"/>
          <w:szCs w:val="28"/>
        </w:rPr>
        <w:t>chính sách hỗ trợ chế độ điều dưỡng, hội nghị, tham quan, về nguồn đối với người có công với cách mạng và thân nhân liệt sĩ trên địa bàn Thành phố Hồ Chí Minh</w:t>
      </w:r>
      <w:r>
        <w:rPr>
          <w:i/>
          <w:iCs/>
          <w:sz w:val="28"/>
          <w:szCs w:val="28"/>
        </w:rPr>
        <w:t>.</w:t>
      </w:r>
    </w:p>
    <w:bookmarkEnd w:id="1"/>
    <w:p w:rsidR="000524DF" w:rsidRDefault="000524DF" w:rsidP="00817160">
      <w:pPr>
        <w:widowControl w:val="0"/>
        <w:tabs>
          <w:tab w:val="right" w:leader="dot" w:pos="7920"/>
        </w:tabs>
        <w:spacing w:before="120"/>
        <w:ind w:firstLineChars="202" w:firstLine="568"/>
        <w:jc w:val="both"/>
        <w:rPr>
          <w:b/>
          <w:sz w:val="28"/>
          <w:szCs w:val="28"/>
        </w:rPr>
      </w:pPr>
      <w:r>
        <w:rPr>
          <w:b/>
          <w:sz w:val="28"/>
          <w:szCs w:val="28"/>
        </w:rPr>
        <w:t>Điều 1. Phạm vi điều chỉnh và đối tượng áp dụng</w:t>
      </w:r>
    </w:p>
    <w:p w:rsidR="000524DF" w:rsidRDefault="000524DF" w:rsidP="00817160">
      <w:pPr>
        <w:widowControl w:val="0"/>
        <w:tabs>
          <w:tab w:val="right" w:leader="dot" w:pos="7920"/>
        </w:tabs>
        <w:spacing w:before="120"/>
        <w:ind w:firstLineChars="202" w:firstLine="566"/>
        <w:jc w:val="both"/>
        <w:rPr>
          <w:sz w:val="28"/>
          <w:szCs w:val="28"/>
        </w:rPr>
      </w:pPr>
      <w:r>
        <w:rPr>
          <w:sz w:val="28"/>
          <w:szCs w:val="28"/>
        </w:rPr>
        <w:t>1. Phạm vi điều chỉnh</w:t>
      </w:r>
    </w:p>
    <w:p w:rsidR="000524DF" w:rsidRDefault="000524DF" w:rsidP="00817160">
      <w:pPr>
        <w:spacing w:before="120"/>
        <w:ind w:firstLineChars="202" w:firstLine="566"/>
        <w:jc w:val="both"/>
        <w:rPr>
          <w:sz w:val="28"/>
          <w:szCs w:val="28"/>
        </w:rPr>
      </w:pPr>
      <w:r>
        <w:rPr>
          <w:sz w:val="28"/>
          <w:szCs w:val="28"/>
        </w:rPr>
        <w:t>Nghị quyết này quy định chính sách hỗ trợ chế độ điều dưỡng tập trung, hội nghị, tham quan, về nguồn đối với người có công với cách mạng và thân nhân liệt sĩ trên địa bàn Thành phố Hồ Chí Minh.</w:t>
      </w:r>
    </w:p>
    <w:p w:rsidR="000524DF" w:rsidRDefault="000524DF" w:rsidP="00817160">
      <w:pPr>
        <w:widowControl w:val="0"/>
        <w:tabs>
          <w:tab w:val="right" w:leader="dot" w:pos="7920"/>
        </w:tabs>
        <w:spacing w:before="120"/>
        <w:ind w:firstLineChars="202" w:firstLine="566"/>
        <w:jc w:val="both"/>
        <w:rPr>
          <w:sz w:val="28"/>
          <w:szCs w:val="28"/>
        </w:rPr>
      </w:pPr>
      <w:r>
        <w:rPr>
          <w:sz w:val="28"/>
          <w:szCs w:val="28"/>
        </w:rPr>
        <w:t>2. Đối tượng áp dụng</w:t>
      </w:r>
    </w:p>
    <w:p w:rsidR="000524DF" w:rsidRDefault="000524DF" w:rsidP="00817160">
      <w:pPr>
        <w:spacing w:before="120"/>
        <w:ind w:firstLineChars="202" w:firstLine="566"/>
        <w:jc w:val="both"/>
        <w:rPr>
          <w:sz w:val="28"/>
          <w:szCs w:val="28"/>
        </w:rPr>
      </w:pPr>
      <w:r>
        <w:rPr>
          <w:sz w:val="28"/>
          <w:szCs w:val="28"/>
        </w:rPr>
        <w:lastRenderedPageBreak/>
        <w:t>a) Người có công với cách mạng và thân nhân liệt sĩ quy định tại Pháp lệ</w:t>
      </w:r>
      <w:r w:rsidR="00817160">
        <w:rPr>
          <w:sz w:val="28"/>
          <w:szCs w:val="28"/>
        </w:rPr>
        <w:t>nh Ư</w:t>
      </w:r>
      <w:r>
        <w:rPr>
          <w:sz w:val="28"/>
          <w:szCs w:val="28"/>
        </w:rPr>
        <w:t>u đãi người có công với cách mạng đăng ký thường trú trên địa bàn Thành phố Hồ Chí Minh.</w:t>
      </w:r>
    </w:p>
    <w:p w:rsidR="000524DF" w:rsidRDefault="000524DF" w:rsidP="00817160">
      <w:pPr>
        <w:widowControl w:val="0"/>
        <w:tabs>
          <w:tab w:val="right" w:leader="dot" w:pos="7920"/>
        </w:tabs>
        <w:spacing w:before="120"/>
        <w:ind w:firstLineChars="202" w:firstLine="566"/>
        <w:jc w:val="both"/>
        <w:rPr>
          <w:sz w:val="28"/>
          <w:szCs w:val="28"/>
        </w:rPr>
      </w:pPr>
      <w:r>
        <w:rPr>
          <w:sz w:val="28"/>
          <w:szCs w:val="28"/>
        </w:rPr>
        <w:t>b) Các cơ quan, tổ chức và cá nhân có liên quan đến việc thực hiện Nghị quyết này.</w:t>
      </w:r>
    </w:p>
    <w:p w:rsidR="000524DF" w:rsidRDefault="000524DF" w:rsidP="00817160">
      <w:pPr>
        <w:widowControl w:val="0"/>
        <w:tabs>
          <w:tab w:val="right" w:leader="dot" w:pos="7920"/>
        </w:tabs>
        <w:spacing w:before="120" w:after="120"/>
        <w:ind w:firstLineChars="202" w:firstLine="568"/>
        <w:jc w:val="both"/>
        <w:rPr>
          <w:b/>
          <w:sz w:val="28"/>
          <w:szCs w:val="28"/>
        </w:rPr>
      </w:pPr>
      <w:r>
        <w:rPr>
          <w:b/>
          <w:sz w:val="28"/>
          <w:szCs w:val="28"/>
        </w:rPr>
        <w:t>Điều 2. Hỗ trợ chi phí đưa đón, chi phí ăn, ở (nếu có) phát sinh trong thời gian đi đường (đi và về) của đối tượng đi điều dưỡng phục hồi sức khỏe tập trung và hỗ trợ chi phí đi tham quan, về nguồn, dự hội nghị</w:t>
      </w:r>
    </w:p>
    <w:p w:rsidR="000524DF" w:rsidRDefault="000524DF" w:rsidP="00817160">
      <w:pPr>
        <w:widowControl w:val="0"/>
        <w:tabs>
          <w:tab w:val="right" w:leader="dot" w:pos="7920"/>
        </w:tabs>
        <w:spacing w:before="120" w:after="120"/>
        <w:ind w:firstLineChars="202" w:firstLine="566"/>
        <w:jc w:val="both"/>
        <w:rPr>
          <w:sz w:val="28"/>
          <w:szCs w:val="28"/>
        </w:rPr>
      </w:pPr>
      <w:r>
        <w:rPr>
          <w:sz w:val="28"/>
          <w:szCs w:val="28"/>
        </w:rPr>
        <w:t>1. Nội dung hỗ trợ</w:t>
      </w:r>
    </w:p>
    <w:p w:rsidR="000524DF" w:rsidRDefault="000524DF" w:rsidP="00817160">
      <w:pPr>
        <w:spacing w:before="120" w:after="120"/>
        <w:ind w:firstLineChars="202" w:firstLine="566"/>
        <w:jc w:val="both"/>
        <w:rPr>
          <w:sz w:val="28"/>
          <w:szCs w:val="28"/>
        </w:rPr>
      </w:pPr>
      <w:r>
        <w:rPr>
          <w:sz w:val="28"/>
          <w:szCs w:val="28"/>
        </w:rPr>
        <w:t>a) Hỗ trợ chi phí thuê phương tiện đưa đón đi và về: (bao gồm cả chi phí thuê phương tiện đưa đón đến sân bay, nhà ga): Bằng ô tô hoặc máy bay (hạng phổ thông) được thanh toán theo hóa đơn thực tế.</w:t>
      </w:r>
    </w:p>
    <w:p w:rsidR="000524DF" w:rsidRDefault="000524DF" w:rsidP="00817160">
      <w:pPr>
        <w:spacing w:before="120" w:after="120"/>
        <w:ind w:firstLineChars="202" w:firstLine="566"/>
        <w:jc w:val="both"/>
        <w:rPr>
          <w:sz w:val="28"/>
          <w:szCs w:val="28"/>
        </w:rPr>
      </w:pPr>
      <w:r>
        <w:rPr>
          <w:sz w:val="28"/>
          <w:szCs w:val="28"/>
        </w:rPr>
        <w:t>b) Hỗ trợ chi phí ăn uống thanh toán theo hóa đơn thực tế: Tối đa 180.000 đồng/người/buổi (không quá 03 buổi/ngày).</w:t>
      </w:r>
    </w:p>
    <w:p w:rsidR="00B8270F" w:rsidRDefault="00B8270F" w:rsidP="00817160">
      <w:pPr>
        <w:tabs>
          <w:tab w:val="right" w:leader="dot" w:pos="7920"/>
        </w:tabs>
        <w:spacing w:before="120" w:after="120" w:line="276" w:lineRule="auto"/>
        <w:ind w:firstLineChars="202" w:firstLine="566"/>
        <w:jc w:val="both"/>
        <w:rPr>
          <w:b/>
          <w:sz w:val="28"/>
          <w:szCs w:val="28"/>
        </w:rPr>
      </w:pPr>
      <w:r w:rsidRPr="00714476">
        <w:rPr>
          <w:sz w:val="28"/>
          <w:szCs w:val="28"/>
        </w:rPr>
        <w:t xml:space="preserve">c) Hỗ trợ chi phí thuê phòng nghỉ được thanh toán theo hóa đơn thực tế, cụ thể: </w:t>
      </w:r>
      <w:r>
        <w:rPr>
          <w:sz w:val="28"/>
          <w:szCs w:val="28"/>
        </w:rPr>
        <w:t>đ</w:t>
      </w:r>
      <w:r w:rsidRPr="00714476">
        <w:rPr>
          <w:sz w:val="28"/>
          <w:szCs w:val="28"/>
        </w:rPr>
        <w:t xml:space="preserve">ối với </w:t>
      </w:r>
      <w:r>
        <w:rPr>
          <w:sz w:val="28"/>
          <w:szCs w:val="28"/>
        </w:rPr>
        <w:t>các</w:t>
      </w:r>
      <w:r w:rsidRPr="00714476">
        <w:rPr>
          <w:sz w:val="28"/>
          <w:szCs w:val="28"/>
        </w:rPr>
        <w:t xml:space="preserve"> thành phố trực thuộc trung ương</w:t>
      </w:r>
      <w:r>
        <w:rPr>
          <w:sz w:val="28"/>
          <w:szCs w:val="28"/>
        </w:rPr>
        <w:t xml:space="preserve"> t</w:t>
      </w:r>
      <w:r w:rsidRPr="00714476">
        <w:rPr>
          <w:sz w:val="28"/>
          <w:szCs w:val="28"/>
        </w:rPr>
        <w:t xml:space="preserve">hanh toán mức giá thuê </w:t>
      </w:r>
      <w:r w:rsidRPr="001C7161">
        <w:rPr>
          <w:spacing w:val="-6"/>
          <w:sz w:val="28"/>
          <w:szCs w:val="28"/>
        </w:rPr>
        <w:t>phòng ngủ tối đa là 2.000.000 đồng/ngày/phòng theo tiêu chuẩn 02 người/phòng;</w:t>
      </w:r>
      <w:r>
        <w:rPr>
          <w:sz w:val="28"/>
          <w:szCs w:val="28"/>
        </w:rPr>
        <w:t xml:space="preserve"> đ</w:t>
      </w:r>
      <w:r w:rsidRPr="00714476">
        <w:rPr>
          <w:sz w:val="28"/>
          <w:szCs w:val="28"/>
        </w:rPr>
        <w:t xml:space="preserve">ối </w:t>
      </w:r>
      <w:r w:rsidRPr="001C7161">
        <w:rPr>
          <w:spacing w:val="-8"/>
          <w:sz w:val="28"/>
          <w:szCs w:val="28"/>
        </w:rPr>
        <w:t xml:space="preserve">với các </w:t>
      </w:r>
      <w:r w:rsidR="00C3637E" w:rsidRPr="001C7161">
        <w:rPr>
          <w:spacing w:val="-8"/>
          <w:sz w:val="28"/>
          <w:szCs w:val="28"/>
        </w:rPr>
        <w:t>tỉnh</w:t>
      </w:r>
      <w:r w:rsidRPr="001C7161">
        <w:rPr>
          <w:spacing w:val="-8"/>
          <w:sz w:val="28"/>
          <w:szCs w:val="28"/>
        </w:rPr>
        <w:t>: thanh toán mức giá thuê phòng ngủ tối đa là 1.800.000 đồng/ngày/phòng</w:t>
      </w:r>
      <w:r w:rsidRPr="00714476">
        <w:rPr>
          <w:sz w:val="28"/>
          <w:szCs w:val="28"/>
        </w:rPr>
        <w:t xml:space="preserve"> theo tiêu chuẩn </w:t>
      </w:r>
      <w:r>
        <w:rPr>
          <w:sz w:val="28"/>
          <w:szCs w:val="28"/>
        </w:rPr>
        <w:t>0</w:t>
      </w:r>
      <w:r w:rsidRPr="00714476">
        <w:rPr>
          <w:sz w:val="28"/>
          <w:szCs w:val="28"/>
        </w:rPr>
        <w:t>2 người/phòng.</w:t>
      </w:r>
    </w:p>
    <w:p w:rsidR="000524DF" w:rsidRDefault="000524DF" w:rsidP="00817160">
      <w:pPr>
        <w:widowControl w:val="0"/>
        <w:tabs>
          <w:tab w:val="right" w:leader="dot" w:pos="7920"/>
        </w:tabs>
        <w:spacing w:before="120" w:after="120"/>
        <w:ind w:firstLineChars="202" w:firstLine="566"/>
        <w:jc w:val="both"/>
        <w:rPr>
          <w:sz w:val="28"/>
          <w:szCs w:val="28"/>
        </w:rPr>
      </w:pPr>
      <w:r>
        <w:rPr>
          <w:sz w:val="28"/>
          <w:szCs w:val="28"/>
        </w:rPr>
        <w:t>2. Nguyên tắc hỗ trợ</w:t>
      </w:r>
    </w:p>
    <w:p w:rsidR="00D30032" w:rsidRDefault="00D30032" w:rsidP="00817160">
      <w:pPr>
        <w:widowControl w:val="0"/>
        <w:tabs>
          <w:tab w:val="right" w:leader="dot" w:pos="7920"/>
        </w:tabs>
        <w:spacing w:before="120" w:after="120"/>
        <w:ind w:firstLineChars="202" w:firstLine="566"/>
        <w:jc w:val="both"/>
        <w:rPr>
          <w:sz w:val="28"/>
          <w:szCs w:val="28"/>
        </w:rPr>
      </w:pPr>
      <w:r>
        <w:rPr>
          <w:sz w:val="28"/>
          <w:szCs w:val="28"/>
        </w:rPr>
        <w:t>a) Người có công với cách mạng và thân nhân liệt sĩ đang có hồ sơ quản lý tại Sở Nội vụ Thành phố Hồ Chí Minh</w:t>
      </w:r>
      <w:r w:rsidR="00921D74">
        <w:rPr>
          <w:sz w:val="28"/>
          <w:szCs w:val="28"/>
        </w:rPr>
        <w:t>.</w:t>
      </w:r>
    </w:p>
    <w:p w:rsidR="000524DF" w:rsidRDefault="00D30032" w:rsidP="00817160">
      <w:pPr>
        <w:widowControl w:val="0"/>
        <w:tabs>
          <w:tab w:val="right" w:leader="dot" w:pos="7920"/>
        </w:tabs>
        <w:spacing w:before="120"/>
        <w:ind w:firstLineChars="202" w:firstLine="558"/>
        <w:jc w:val="both"/>
        <w:rPr>
          <w:spacing w:val="-4"/>
          <w:sz w:val="28"/>
          <w:szCs w:val="28"/>
        </w:rPr>
      </w:pPr>
      <w:r>
        <w:rPr>
          <w:spacing w:val="-4"/>
          <w:sz w:val="28"/>
          <w:szCs w:val="28"/>
        </w:rPr>
        <w:t>b</w:t>
      </w:r>
      <w:r w:rsidR="000524DF">
        <w:rPr>
          <w:spacing w:val="-4"/>
          <w:sz w:val="28"/>
          <w:szCs w:val="28"/>
        </w:rPr>
        <w:t xml:space="preserve">) Người có công với cách mạng và thân nhân liệt sĩ đi tham quan, về nguồn, dự hội nghị </w:t>
      </w:r>
      <w:r w:rsidR="000524DF">
        <w:rPr>
          <w:sz w:val="28"/>
          <w:szCs w:val="28"/>
        </w:rPr>
        <w:t xml:space="preserve">01 lần/người/năm </w:t>
      </w:r>
      <w:r w:rsidR="000524DF">
        <w:rPr>
          <w:spacing w:val="-4"/>
          <w:sz w:val="28"/>
          <w:szCs w:val="28"/>
        </w:rPr>
        <w:t>do Trung ương hoặc Thành ủy, Hội đồng nhân dân, Ủy ban nhân dân, Ủy ban Mặt trận Tổ Quốc Việt Nam Thành phố tổ chức và mời tham dự.</w:t>
      </w:r>
    </w:p>
    <w:p w:rsidR="000524DF" w:rsidRDefault="00D30032" w:rsidP="00817160">
      <w:pPr>
        <w:widowControl w:val="0"/>
        <w:tabs>
          <w:tab w:val="right" w:leader="dot" w:pos="7920"/>
        </w:tabs>
        <w:spacing w:before="120"/>
        <w:ind w:firstLineChars="202" w:firstLine="566"/>
        <w:jc w:val="both"/>
        <w:rPr>
          <w:spacing w:val="-4"/>
          <w:sz w:val="28"/>
          <w:szCs w:val="28"/>
        </w:rPr>
      </w:pPr>
      <w:r>
        <w:rPr>
          <w:sz w:val="28"/>
          <w:szCs w:val="28"/>
        </w:rPr>
        <w:t>c</w:t>
      </w:r>
      <w:r w:rsidR="000524DF">
        <w:rPr>
          <w:sz w:val="28"/>
          <w:szCs w:val="28"/>
        </w:rPr>
        <w:t>) Người có công với cách mạng và thân nhân liệt sĩ được hỗ trợ chi phí đưa đón, ăn uống, phòng nghỉ trong thời gian tham gia điều dưỡng phục hồi sức khỏe tập trung là những người được hưởng chế độ ưu đãi điều dưỡng phục hồi sức khỏe tập trung theo quy định tại Pháp lệnh Ưu đãi người có công với cách mạng và quy định pháp luật có liên quan.</w:t>
      </w:r>
    </w:p>
    <w:p w:rsidR="000524DF" w:rsidRDefault="000524DF" w:rsidP="00817160">
      <w:pPr>
        <w:spacing w:before="120"/>
        <w:ind w:firstLineChars="202" w:firstLine="568"/>
        <w:jc w:val="both"/>
        <w:rPr>
          <w:b/>
          <w:sz w:val="28"/>
          <w:szCs w:val="28"/>
        </w:rPr>
      </w:pPr>
      <w:r>
        <w:rPr>
          <w:b/>
          <w:sz w:val="28"/>
          <w:szCs w:val="28"/>
        </w:rPr>
        <w:t>Điều 3. Nguồn kinh phí thực hiện</w:t>
      </w:r>
    </w:p>
    <w:p w:rsidR="000524DF" w:rsidRPr="00C41C92" w:rsidRDefault="000524DF" w:rsidP="00817160">
      <w:pPr>
        <w:widowControl w:val="0"/>
        <w:tabs>
          <w:tab w:val="right" w:leader="dot" w:pos="7920"/>
        </w:tabs>
        <w:spacing w:before="120"/>
        <w:ind w:firstLineChars="202" w:firstLine="549"/>
        <w:jc w:val="both"/>
        <w:rPr>
          <w:iCs/>
          <w:spacing w:val="-8"/>
          <w:sz w:val="28"/>
          <w:szCs w:val="28"/>
          <w:lang w:val="vi-VN"/>
        </w:rPr>
      </w:pPr>
      <w:r w:rsidRPr="00C41C92">
        <w:rPr>
          <w:iCs/>
          <w:spacing w:val="-8"/>
          <w:sz w:val="28"/>
          <w:szCs w:val="28"/>
        </w:rPr>
        <w:t>Ngân sách Thành phố đảm bảo theo phân cấp của Luật Ngân sách nhà nước.</w:t>
      </w:r>
    </w:p>
    <w:p w:rsidR="000524DF" w:rsidRDefault="000524DF" w:rsidP="00817160">
      <w:pPr>
        <w:spacing w:before="120"/>
        <w:ind w:firstLineChars="202" w:firstLine="568"/>
        <w:jc w:val="both"/>
        <w:rPr>
          <w:b/>
          <w:bCs/>
          <w:sz w:val="28"/>
          <w:szCs w:val="28"/>
        </w:rPr>
      </w:pPr>
      <w:r>
        <w:rPr>
          <w:b/>
          <w:bCs/>
          <w:sz w:val="28"/>
          <w:szCs w:val="28"/>
        </w:rPr>
        <w:t xml:space="preserve">Điều 4. </w:t>
      </w:r>
      <w:r>
        <w:rPr>
          <w:b/>
          <w:bCs/>
          <w:sz w:val="28"/>
          <w:szCs w:val="28"/>
          <w:lang w:val="nb-NO"/>
        </w:rPr>
        <w:t>Tổ chức thực hiện</w:t>
      </w:r>
    </w:p>
    <w:p w:rsidR="000524DF" w:rsidRDefault="000524DF" w:rsidP="00817160">
      <w:pPr>
        <w:pStyle w:val="NormalWeb"/>
        <w:shd w:val="clear" w:color="auto" w:fill="FFFFFF"/>
        <w:spacing w:before="120" w:beforeAutospacing="0" w:after="0" w:afterAutospacing="0"/>
        <w:ind w:firstLineChars="202" w:firstLine="566"/>
        <w:jc w:val="both"/>
        <w:rPr>
          <w:sz w:val="28"/>
          <w:szCs w:val="28"/>
        </w:rPr>
      </w:pPr>
      <w:r>
        <w:rPr>
          <w:sz w:val="28"/>
          <w:szCs w:val="28"/>
        </w:rPr>
        <w:t xml:space="preserve">1. Giao Ủy ban nhân dân Thành phố triển khai thực hiện có hiệu quả Nghị quyết này. </w:t>
      </w:r>
    </w:p>
    <w:p w:rsidR="000524DF" w:rsidRDefault="000524DF" w:rsidP="00817160">
      <w:pPr>
        <w:pStyle w:val="NormalWeb"/>
        <w:shd w:val="clear" w:color="auto" w:fill="FFFFFF"/>
        <w:spacing w:before="120" w:beforeAutospacing="0" w:after="0" w:afterAutospacing="0"/>
        <w:ind w:firstLineChars="202" w:firstLine="566"/>
        <w:jc w:val="both"/>
        <w:rPr>
          <w:sz w:val="28"/>
          <w:szCs w:val="28"/>
        </w:rPr>
      </w:pPr>
      <w:r>
        <w:rPr>
          <w:sz w:val="28"/>
          <w:szCs w:val="28"/>
        </w:rPr>
        <w:lastRenderedPageBreak/>
        <w:t>2. Thường trực Hội đồng nhân dân Thành phố, các Ban, Tổ Đại biểu và đại biểu Hội đồng nhân dân Thành phố giám sát chặt chẽ quá trình tổ chức thực hiện Nghị quyết này.</w:t>
      </w:r>
    </w:p>
    <w:p w:rsidR="000524DF" w:rsidRDefault="000524DF" w:rsidP="00817160">
      <w:pPr>
        <w:widowControl w:val="0"/>
        <w:tabs>
          <w:tab w:val="right" w:leader="dot" w:pos="7920"/>
        </w:tabs>
        <w:spacing w:before="120"/>
        <w:ind w:firstLineChars="202" w:firstLine="568"/>
        <w:jc w:val="both"/>
        <w:rPr>
          <w:b/>
          <w:sz w:val="28"/>
          <w:szCs w:val="28"/>
        </w:rPr>
      </w:pPr>
      <w:r>
        <w:rPr>
          <w:b/>
          <w:sz w:val="28"/>
          <w:szCs w:val="28"/>
        </w:rPr>
        <w:t xml:space="preserve">Điều 5. </w:t>
      </w:r>
      <w:r w:rsidR="00DB3CF7">
        <w:rPr>
          <w:b/>
          <w:sz w:val="28"/>
          <w:szCs w:val="28"/>
        </w:rPr>
        <w:t>Điều khoản thi hành</w:t>
      </w:r>
    </w:p>
    <w:p w:rsidR="001C7161" w:rsidRDefault="001C7161" w:rsidP="00817160">
      <w:pPr>
        <w:spacing w:before="120"/>
        <w:ind w:firstLineChars="202" w:firstLine="566"/>
        <w:jc w:val="both"/>
        <w:rPr>
          <w:sz w:val="28"/>
          <w:szCs w:val="28"/>
        </w:rPr>
      </w:pPr>
      <w:r w:rsidRPr="00DB3CF7">
        <w:rPr>
          <w:sz w:val="28"/>
          <w:szCs w:val="28"/>
        </w:rPr>
        <w:t xml:space="preserve">1. </w:t>
      </w:r>
      <w:r w:rsidR="000524DF" w:rsidRPr="00DB3CF7">
        <w:rPr>
          <w:sz w:val="28"/>
          <w:szCs w:val="28"/>
        </w:rPr>
        <w:t xml:space="preserve">Nghị quyết này có hiệu lực kể </w:t>
      </w:r>
      <w:r w:rsidR="005F367F" w:rsidRPr="00DB3CF7">
        <w:rPr>
          <w:sz w:val="28"/>
          <w:szCs w:val="28"/>
        </w:rPr>
        <w:t>từ ngày</w:t>
      </w:r>
      <w:r w:rsidR="00DB3CF7" w:rsidRPr="00DB3CF7">
        <w:rPr>
          <w:sz w:val="28"/>
          <w:szCs w:val="28"/>
        </w:rPr>
        <w:t xml:space="preserve"> 01 </w:t>
      </w:r>
      <w:r w:rsidR="005F367F" w:rsidRPr="00DB3CF7">
        <w:rPr>
          <w:sz w:val="28"/>
          <w:szCs w:val="28"/>
        </w:rPr>
        <w:t>tháng</w:t>
      </w:r>
      <w:r w:rsidR="00DB3CF7" w:rsidRPr="00DB3CF7">
        <w:rPr>
          <w:sz w:val="28"/>
          <w:szCs w:val="28"/>
        </w:rPr>
        <w:t xml:space="preserve"> 01 năm 2026.</w:t>
      </w:r>
    </w:p>
    <w:p w:rsidR="000524DF" w:rsidRDefault="001C7161" w:rsidP="00817160">
      <w:pPr>
        <w:spacing w:before="120"/>
        <w:ind w:firstLineChars="202" w:firstLine="566"/>
        <w:jc w:val="both"/>
        <w:rPr>
          <w:iCs/>
          <w:sz w:val="28"/>
          <w:szCs w:val="28"/>
          <w:lang w:val="vi-VN"/>
        </w:rPr>
      </w:pPr>
      <w:r>
        <w:rPr>
          <w:sz w:val="28"/>
          <w:szCs w:val="28"/>
        </w:rPr>
        <w:t>2. Bãi bỏ</w:t>
      </w:r>
      <w:r w:rsidR="000524DF">
        <w:rPr>
          <w:sz w:val="28"/>
          <w:szCs w:val="28"/>
        </w:rPr>
        <w:t xml:space="preserve"> Nghị quyết số 05/2025/NQ-HĐND ngày 20 tháng 02 năm 2025 của Hội đồng nhân dân Thành phố Hồ Chí Minh quy định chính sách hỗ trợ chế độ điều dưỡng, hội nghị, tham quan về nguồn đối với người có công với cách </w:t>
      </w:r>
      <w:r w:rsidR="000524DF" w:rsidRPr="001C7161">
        <w:rPr>
          <w:spacing w:val="-10"/>
          <w:sz w:val="28"/>
          <w:szCs w:val="28"/>
        </w:rPr>
        <w:t>mạng và thân nhân người có công với cách mạng trên địa bàn Thành phố Hồ Chí Minh.</w:t>
      </w:r>
    </w:p>
    <w:p w:rsidR="000524DF" w:rsidRPr="005F367F" w:rsidRDefault="000524DF" w:rsidP="00817160">
      <w:pPr>
        <w:pStyle w:val="NormalWeb"/>
        <w:shd w:val="clear" w:color="auto" w:fill="FFFFFF"/>
        <w:spacing w:before="120" w:beforeAutospacing="0" w:after="0" w:afterAutospacing="0"/>
        <w:ind w:firstLineChars="202" w:firstLine="553"/>
        <w:jc w:val="both"/>
        <w:rPr>
          <w:i/>
          <w:sz w:val="28"/>
          <w:szCs w:val="28"/>
        </w:rPr>
      </w:pPr>
      <w:r w:rsidRPr="00007423">
        <w:rPr>
          <w:rFonts w:ascii="Times New Roman Italic" w:hAnsi="Times New Roman Italic"/>
          <w:i/>
          <w:spacing w:val="-6"/>
          <w:sz w:val="28"/>
          <w:szCs w:val="28"/>
        </w:rPr>
        <w:t>Nghị quyết này đã được Hội đồng nhân dân Thành phố Hồ</w:t>
      </w:r>
      <w:r w:rsidR="001C7161" w:rsidRPr="00007423">
        <w:rPr>
          <w:rFonts w:ascii="Times New Roman Italic" w:hAnsi="Times New Roman Italic"/>
          <w:i/>
          <w:spacing w:val="-6"/>
          <w:sz w:val="28"/>
          <w:szCs w:val="28"/>
        </w:rPr>
        <w:t xml:space="preserve"> Chí Minh Khóa X, </w:t>
      </w:r>
      <w:r w:rsidR="001C7161">
        <w:rPr>
          <w:i/>
          <w:sz w:val="28"/>
          <w:szCs w:val="28"/>
        </w:rPr>
        <w:t>K</w:t>
      </w:r>
      <w:r w:rsidRPr="005F367F">
        <w:rPr>
          <w:i/>
          <w:sz w:val="28"/>
          <w:szCs w:val="28"/>
        </w:rPr>
        <w:t>ỳ họp thứ</w:t>
      </w:r>
      <w:r w:rsidR="001C7161">
        <w:rPr>
          <w:i/>
          <w:sz w:val="28"/>
          <w:szCs w:val="28"/>
        </w:rPr>
        <w:t xml:space="preserve"> năm</w:t>
      </w:r>
      <w:r w:rsidRPr="005F367F">
        <w:rPr>
          <w:i/>
          <w:sz w:val="28"/>
          <w:szCs w:val="28"/>
        </w:rPr>
        <w:t xml:space="preserve"> thông qua ngày</w:t>
      </w:r>
      <w:r w:rsidR="00A7076D">
        <w:rPr>
          <w:i/>
          <w:sz w:val="28"/>
          <w:szCs w:val="28"/>
        </w:rPr>
        <w:t xml:space="preserve"> 14 tháng 11</w:t>
      </w:r>
      <w:r w:rsidRPr="005F367F">
        <w:rPr>
          <w:i/>
          <w:sz w:val="28"/>
          <w:szCs w:val="28"/>
        </w:rPr>
        <w:t xml:space="preserve"> năm 2025./.</w:t>
      </w:r>
    </w:p>
    <w:p w:rsidR="000524DF" w:rsidRDefault="000524DF">
      <w:pPr>
        <w:pStyle w:val="NormalWeb"/>
        <w:shd w:val="clear" w:color="auto" w:fill="FFFFFF"/>
        <w:spacing w:before="120" w:beforeAutospacing="0" w:after="0" w:afterAutospacing="0"/>
        <w:ind w:firstLine="720"/>
        <w:jc w:val="both"/>
        <w:rPr>
          <w:sz w:val="16"/>
        </w:rPr>
      </w:pPr>
    </w:p>
    <w:tbl>
      <w:tblPr>
        <w:tblW w:w="9417" w:type="dxa"/>
        <w:tblCellMar>
          <w:left w:w="0" w:type="dxa"/>
          <w:right w:w="0" w:type="dxa"/>
        </w:tblCellMar>
        <w:tblLook w:val="0000" w:firstRow="0" w:lastRow="0" w:firstColumn="0" w:lastColumn="0" w:noHBand="0" w:noVBand="0"/>
      </w:tblPr>
      <w:tblGrid>
        <w:gridCol w:w="5637"/>
        <w:gridCol w:w="3780"/>
      </w:tblGrid>
      <w:tr w:rsidR="000524DF">
        <w:tc>
          <w:tcPr>
            <w:tcW w:w="5637" w:type="dxa"/>
            <w:tcBorders>
              <w:top w:val="nil"/>
              <w:left w:val="nil"/>
              <w:bottom w:val="nil"/>
              <w:right w:val="nil"/>
            </w:tcBorders>
            <w:tcMar>
              <w:top w:w="0" w:type="dxa"/>
              <w:left w:w="108" w:type="dxa"/>
              <w:bottom w:w="0" w:type="dxa"/>
              <w:right w:w="108" w:type="dxa"/>
            </w:tcMar>
          </w:tcPr>
          <w:p w:rsidR="001C7161" w:rsidRPr="001C7161" w:rsidRDefault="000524DF" w:rsidP="001C7161">
            <w:pPr>
              <w:ind w:hanging="2"/>
              <w:rPr>
                <w:sz w:val="22"/>
                <w:szCs w:val="22"/>
                <w:lang w:val="vi-VN"/>
              </w:rPr>
            </w:pPr>
            <w:r>
              <w:rPr>
                <w:b/>
                <w:i/>
                <w:lang w:val="vi-VN"/>
              </w:rPr>
              <w:t>Nơi nhận:</w:t>
            </w:r>
            <w:r>
              <w:rPr>
                <w:b/>
                <w:i/>
                <w:lang w:val="vi-VN"/>
              </w:rPr>
              <w:br/>
            </w:r>
            <w:r w:rsidR="001C7161" w:rsidRPr="001C7161">
              <w:rPr>
                <w:sz w:val="22"/>
                <w:szCs w:val="22"/>
                <w:lang w:val="vi-VN"/>
              </w:rPr>
              <w:t>- Ủy ban Thường vụ Quốc hội;</w:t>
            </w:r>
          </w:p>
          <w:p w:rsidR="001C7161" w:rsidRPr="001C7161" w:rsidRDefault="001C7161" w:rsidP="001C7161">
            <w:pPr>
              <w:ind w:hanging="2"/>
              <w:rPr>
                <w:sz w:val="22"/>
                <w:szCs w:val="22"/>
                <w:lang w:val="vi-VN"/>
              </w:rPr>
            </w:pPr>
            <w:r w:rsidRPr="001C7161">
              <w:rPr>
                <w:sz w:val="22"/>
                <w:szCs w:val="22"/>
                <w:lang w:val="vi-VN"/>
              </w:rPr>
              <w:t>- Văn phòng: Quốc hội, Chính phủ;</w:t>
            </w:r>
          </w:p>
          <w:p w:rsidR="001C7161" w:rsidRPr="001C7161" w:rsidRDefault="001C7161" w:rsidP="001C7161">
            <w:pPr>
              <w:ind w:hanging="2"/>
              <w:rPr>
                <w:sz w:val="22"/>
                <w:szCs w:val="22"/>
                <w:lang w:val="vi-VN"/>
              </w:rPr>
            </w:pPr>
            <w:r w:rsidRPr="001C7161">
              <w:rPr>
                <w:sz w:val="22"/>
                <w:szCs w:val="22"/>
                <w:lang w:val="vi-VN"/>
              </w:rPr>
              <w:t>- Các Bộ: Nội vụ, Tài chính;</w:t>
            </w:r>
          </w:p>
          <w:p w:rsidR="001C7161" w:rsidRPr="001C7161" w:rsidRDefault="001C7161" w:rsidP="001C7161">
            <w:pPr>
              <w:ind w:hanging="2"/>
              <w:rPr>
                <w:sz w:val="22"/>
                <w:szCs w:val="22"/>
                <w:lang w:val="vi-VN"/>
              </w:rPr>
            </w:pPr>
            <w:r w:rsidRPr="001C7161">
              <w:rPr>
                <w:sz w:val="22"/>
                <w:szCs w:val="22"/>
                <w:lang w:val="vi-VN"/>
              </w:rPr>
              <w:t>- Cục Kiểm tra VB và QLXLVPHC - Bộ Tư pháp;</w:t>
            </w:r>
          </w:p>
          <w:p w:rsidR="001C7161" w:rsidRPr="001C7161" w:rsidRDefault="001C7161" w:rsidP="001C7161">
            <w:pPr>
              <w:ind w:hanging="2"/>
              <w:rPr>
                <w:sz w:val="22"/>
                <w:szCs w:val="22"/>
                <w:lang w:val="vi-VN"/>
              </w:rPr>
            </w:pPr>
            <w:r w:rsidRPr="001C7161">
              <w:rPr>
                <w:sz w:val="22"/>
                <w:szCs w:val="22"/>
                <w:lang w:val="vi-VN"/>
              </w:rPr>
              <w:t>- Thường trực Thành ủy;</w:t>
            </w:r>
          </w:p>
          <w:p w:rsidR="001C7161" w:rsidRPr="001C7161" w:rsidRDefault="001C7161" w:rsidP="001C7161">
            <w:pPr>
              <w:ind w:hanging="2"/>
              <w:rPr>
                <w:sz w:val="22"/>
                <w:szCs w:val="22"/>
                <w:lang w:val="vi-VN"/>
              </w:rPr>
            </w:pPr>
            <w:r w:rsidRPr="001C7161">
              <w:rPr>
                <w:sz w:val="22"/>
                <w:szCs w:val="22"/>
                <w:lang w:val="vi-VN"/>
              </w:rPr>
              <w:t>- Đoàn đại biểu Quốc hội Thành phố;</w:t>
            </w:r>
          </w:p>
          <w:p w:rsidR="001C7161" w:rsidRPr="001C7161" w:rsidRDefault="001C7161" w:rsidP="001C7161">
            <w:pPr>
              <w:ind w:hanging="2"/>
              <w:rPr>
                <w:sz w:val="22"/>
                <w:szCs w:val="22"/>
                <w:lang w:val="vi-VN"/>
              </w:rPr>
            </w:pPr>
            <w:r w:rsidRPr="001C7161">
              <w:rPr>
                <w:sz w:val="22"/>
                <w:szCs w:val="22"/>
                <w:lang w:val="vi-VN"/>
              </w:rPr>
              <w:t>- Thường trực HĐND, UBND, UBMTTQVN Thành phố;</w:t>
            </w:r>
          </w:p>
          <w:p w:rsidR="001C7161" w:rsidRPr="001C7161" w:rsidRDefault="001C7161" w:rsidP="001C7161">
            <w:pPr>
              <w:ind w:hanging="2"/>
              <w:rPr>
                <w:sz w:val="22"/>
                <w:szCs w:val="22"/>
                <w:lang w:val="vi-VN"/>
              </w:rPr>
            </w:pPr>
            <w:r w:rsidRPr="001C7161">
              <w:rPr>
                <w:sz w:val="22"/>
                <w:szCs w:val="22"/>
                <w:lang w:val="vi-VN"/>
              </w:rPr>
              <w:t>- Đại biểu HĐND Thành phố;</w:t>
            </w:r>
          </w:p>
          <w:p w:rsidR="001C7161" w:rsidRPr="001C7161" w:rsidRDefault="001C7161" w:rsidP="001C7161">
            <w:pPr>
              <w:ind w:hanging="2"/>
              <w:rPr>
                <w:sz w:val="22"/>
                <w:szCs w:val="22"/>
                <w:lang w:val="vi-VN"/>
              </w:rPr>
            </w:pPr>
            <w:r w:rsidRPr="001C7161">
              <w:rPr>
                <w:sz w:val="22"/>
                <w:szCs w:val="22"/>
                <w:lang w:val="vi-VN"/>
              </w:rPr>
              <w:t>- Các Sở, ban, ngành Thành phố;</w:t>
            </w:r>
          </w:p>
          <w:p w:rsidR="001C7161" w:rsidRPr="001C7161" w:rsidRDefault="001C7161" w:rsidP="001C7161">
            <w:pPr>
              <w:ind w:hanging="2"/>
              <w:rPr>
                <w:sz w:val="22"/>
                <w:szCs w:val="22"/>
                <w:lang w:val="vi-VN"/>
              </w:rPr>
            </w:pPr>
            <w:r w:rsidRPr="001C7161">
              <w:rPr>
                <w:sz w:val="22"/>
                <w:szCs w:val="22"/>
                <w:lang w:val="vi-VN"/>
              </w:rPr>
              <w:t>- Văn phòng: Thành ủy, Đoàn ĐBQH&amp;HĐND, UBND Thành phố;</w:t>
            </w:r>
          </w:p>
          <w:p w:rsidR="001C7161" w:rsidRPr="001C7161" w:rsidRDefault="001C7161" w:rsidP="001C7161">
            <w:pPr>
              <w:ind w:hanging="2"/>
              <w:rPr>
                <w:sz w:val="22"/>
                <w:szCs w:val="22"/>
                <w:lang w:val="vi-VN"/>
              </w:rPr>
            </w:pPr>
            <w:r w:rsidRPr="001C7161">
              <w:rPr>
                <w:sz w:val="22"/>
                <w:szCs w:val="22"/>
                <w:lang w:val="vi-VN"/>
              </w:rPr>
              <w:t>- Thường trực HĐND, UBND, UBMTTQVN cấp xã;</w:t>
            </w:r>
          </w:p>
          <w:p w:rsidR="001C7161" w:rsidRPr="001C7161" w:rsidRDefault="001C7161" w:rsidP="001C7161">
            <w:pPr>
              <w:ind w:hanging="2"/>
              <w:rPr>
                <w:sz w:val="22"/>
                <w:szCs w:val="22"/>
                <w:lang w:val="vi-VN"/>
              </w:rPr>
            </w:pPr>
            <w:r w:rsidRPr="001C7161">
              <w:rPr>
                <w:sz w:val="22"/>
                <w:szCs w:val="22"/>
                <w:lang w:val="vi-VN"/>
              </w:rPr>
              <w:t>- Trung tâm Thông tin điện tử Thành phố;</w:t>
            </w:r>
          </w:p>
          <w:p w:rsidR="000524DF" w:rsidRDefault="00007423" w:rsidP="001C7161">
            <w:r>
              <w:rPr>
                <w:sz w:val="22"/>
                <w:szCs w:val="22"/>
                <w:lang w:val="vi-VN"/>
              </w:rPr>
              <w:t xml:space="preserve">- Lưu: VT, (P.CTHĐND - </w:t>
            </w:r>
            <w:r w:rsidR="001C7161" w:rsidRPr="001C7161">
              <w:rPr>
                <w:sz w:val="22"/>
                <w:szCs w:val="22"/>
                <w:lang w:val="vi-VN"/>
              </w:rPr>
              <w:t>T.Duyên).</w:t>
            </w:r>
          </w:p>
        </w:tc>
        <w:tc>
          <w:tcPr>
            <w:tcW w:w="3780" w:type="dxa"/>
            <w:tcBorders>
              <w:top w:val="nil"/>
              <w:left w:val="nil"/>
              <w:bottom w:val="nil"/>
              <w:right w:val="nil"/>
            </w:tcBorders>
            <w:tcMar>
              <w:top w:w="0" w:type="dxa"/>
              <w:left w:w="108" w:type="dxa"/>
              <w:bottom w:w="0" w:type="dxa"/>
              <w:right w:w="108" w:type="dxa"/>
            </w:tcMar>
          </w:tcPr>
          <w:p w:rsidR="000524DF" w:rsidRDefault="009A2AB6">
            <w:pPr>
              <w:jc w:val="center"/>
              <w:rPr>
                <w:b/>
              </w:rPr>
            </w:pPr>
            <w:r w:rsidRPr="009A2AB6">
              <w:rPr>
                <w:b/>
                <w:sz w:val="28"/>
                <w:szCs w:val="28"/>
              </w:rPr>
              <w:t>CH</w:t>
            </w:r>
            <w:r>
              <w:rPr>
                <w:b/>
                <w:sz w:val="28"/>
                <w:szCs w:val="28"/>
              </w:rPr>
              <w:t>Ủ TỊCH</w:t>
            </w:r>
          </w:p>
          <w:p w:rsidR="000524DF" w:rsidRDefault="000524DF">
            <w:pPr>
              <w:jc w:val="center"/>
              <w:rPr>
                <w:i/>
                <w:sz w:val="28"/>
                <w:szCs w:val="28"/>
              </w:rPr>
            </w:pPr>
            <w:r>
              <w:rPr>
                <w:b/>
                <w:sz w:val="28"/>
                <w:szCs w:val="28"/>
              </w:rPr>
              <w:br/>
            </w:r>
          </w:p>
          <w:p w:rsidR="000524DF" w:rsidRDefault="000524DF" w:rsidP="001C7161">
            <w:pPr>
              <w:rPr>
                <w:i/>
                <w:sz w:val="28"/>
                <w:szCs w:val="28"/>
                <w:lang w:val="en-GB"/>
              </w:rPr>
            </w:pPr>
          </w:p>
          <w:p w:rsidR="00A7076D" w:rsidRDefault="00A7076D" w:rsidP="009A2AB6">
            <w:pPr>
              <w:rPr>
                <w:b/>
                <w:sz w:val="28"/>
                <w:szCs w:val="28"/>
              </w:rPr>
            </w:pPr>
          </w:p>
          <w:p w:rsidR="000524DF" w:rsidRDefault="000524DF">
            <w:pPr>
              <w:rPr>
                <w:sz w:val="28"/>
                <w:szCs w:val="28"/>
              </w:rPr>
            </w:pPr>
          </w:p>
          <w:p w:rsidR="000524DF" w:rsidRPr="00E53708" w:rsidRDefault="001C7161">
            <w:pPr>
              <w:jc w:val="center"/>
              <w:rPr>
                <w:b/>
                <w:sz w:val="28"/>
                <w:szCs w:val="28"/>
              </w:rPr>
            </w:pPr>
            <w:r w:rsidRPr="00E53708">
              <w:rPr>
                <w:b/>
                <w:sz w:val="28"/>
                <w:szCs w:val="28"/>
              </w:rPr>
              <w:t>Võ Văn Minh</w:t>
            </w:r>
          </w:p>
        </w:tc>
      </w:tr>
    </w:tbl>
    <w:p w:rsidR="000524DF" w:rsidRDefault="000524DF">
      <w:pPr>
        <w:spacing w:before="120" w:after="100" w:afterAutospacing="1"/>
      </w:pPr>
    </w:p>
    <w:p w:rsidR="000524DF" w:rsidRDefault="000524DF">
      <w:pPr>
        <w:spacing w:before="120" w:after="100" w:afterAutospacing="1"/>
      </w:pPr>
    </w:p>
    <w:sectPr w:rsidR="000524DF">
      <w:headerReference w:type="default" r:id="rId6"/>
      <w:footerReference w:type="even" r:id="rId7"/>
      <w:pgSz w:w="11907" w:h="16840"/>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A32" w:rsidRDefault="00115A32">
      <w:r>
        <w:separator/>
      </w:r>
    </w:p>
  </w:endnote>
  <w:endnote w:type="continuationSeparator" w:id="0">
    <w:p w:rsidR="00115A32" w:rsidRDefault="0011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DF" w:rsidRDefault="000524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24DF" w:rsidRDefault="000524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A32" w:rsidRDefault="00115A32">
      <w:r>
        <w:separator/>
      </w:r>
    </w:p>
  </w:footnote>
  <w:footnote w:type="continuationSeparator" w:id="0">
    <w:p w:rsidR="00115A32" w:rsidRDefault="00115A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DF" w:rsidRDefault="000524DF">
    <w:pPr>
      <w:pStyle w:val="Header"/>
      <w:jc w:val="center"/>
    </w:pPr>
    <w:r>
      <w:fldChar w:fldCharType="begin"/>
    </w:r>
    <w:r>
      <w:instrText xml:space="preserve"> PAGE   \* MERGEFORMAT </w:instrText>
    </w:r>
    <w:r>
      <w:fldChar w:fldCharType="separate"/>
    </w:r>
    <w:r w:rsidR="00934AC4">
      <w:rPr>
        <w:noProof/>
      </w:rPr>
      <w:t>2</w:t>
    </w:r>
    <w:r>
      <w:fldChar w:fldCharType="end"/>
    </w:r>
  </w:p>
  <w:p w:rsidR="000524DF" w:rsidRDefault="000524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B1"/>
    <w:rsid w:val="000044BB"/>
    <w:rsid w:val="00007423"/>
    <w:rsid w:val="00011CD9"/>
    <w:rsid w:val="00016343"/>
    <w:rsid w:val="0001704D"/>
    <w:rsid w:val="00020077"/>
    <w:rsid w:val="0002293D"/>
    <w:rsid w:val="00023242"/>
    <w:rsid w:val="000310CE"/>
    <w:rsid w:val="000356B5"/>
    <w:rsid w:val="00037E84"/>
    <w:rsid w:val="00041044"/>
    <w:rsid w:val="00042A37"/>
    <w:rsid w:val="000474A6"/>
    <w:rsid w:val="00047693"/>
    <w:rsid w:val="000524DF"/>
    <w:rsid w:val="00052F01"/>
    <w:rsid w:val="00052F05"/>
    <w:rsid w:val="00055598"/>
    <w:rsid w:val="00056DA9"/>
    <w:rsid w:val="00067A4B"/>
    <w:rsid w:val="00085814"/>
    <w:rsid w:val="000909CA"/>
    <w:rsid w:val="00090D16"/>
    <w:rsid w:val="00097DB6"/>
    <w:rsid w:val="000A021A"/>
    <w:rsid w:val="000A0D02"/>
    <w:rsid w:val="000A2481"/>
    <w:rsid w:val="000A46B2"/>
    <w:rsid w:val="000A599F"/>
    <w:rsid w:val="000A6665"/>
    <w:rsid w:val="000A6F95"/>
    <w:rsid w:val="000B27DD"/>
    <w:rsid w:val="000B3E0C"/>
    <w:rsid w:val="000C772B"/>
    <w:rsid w:val="000D011A"/>
    <w:rsid w:val="000D6907"/>
    <w:rsid w:val="000D768C"/>
    <w:rsid w:val="000E0870"/>
    <w:rsid w:val="000E771F"/>
    <w:rsid w:val="000F3134"/>
    <w:rsid w:val="000F75DD"/>
    <w:rsid w:val="00102B09"/>
    <w:rsid w:val="00102D6E"/>
    <w:rsid w:val="00115A32"/>
    <w:rsid w:val="0011741E"/>
    <w:rsid w:val="0012218C"/>
    <w:rsid w:val="001229A7"/>
    <w:rsid w:val="00135A04"/>
    <w:rsid w:val="00143D85"/>
    <w:rsid w:val="0015332B"/>
    <w:rsid w:val="00157015"/>
    <w:rsid w:val="0015711D"/>
    <w:rsid w:val="00160339"/>
    <w:rsid w:val="001623E4"/>
    <w:rsid w:val="001633EB"/>
    <w:rsid w:val="00166DE2"/>
    <w:rsid w:val="00167644"/>
    <w:rsid w:val="00170D17"/>
    <w:rsid w:val="00172DCD"/>
    <w:rsid w:val="001826A6"/>
    <w:rsid w:val="00185462"/>
    <w:rsid w:val="0018644F"/>
    <w:rsid w:val="001935F5"/>
    <w:rsid w:val="001A144D"/>
    <w:rsid w:val="001A454C"/>
    <w:rsid w:val="001B680B"/>
    <w:rsid w:val="001B6971"/>
    <w:rsid w:val="001C7161"/>
    <w:rsid w:val="001D5000"/>
    <w:rsid w:val="001F2BA8"/>
    <w:rsid w:val="00205E9D"/>
    <w:rsid w:val="00213A59"/>
    <w:rsid w:val="002147D6"/>
    <w:rsid w:val="00215966"/>
    <w:rsid w:val="00220B0B"/>
    <w:rsid w:val="002238FF"/>
    <w:rsid w:val="002342C0"/>
    <w:rsid w:val="00245F37"/>
    <w:rsid w:val="00260701"/>
    <w:rsid w:val="00260DB7"/>
    <w:rsid w:val="00272D63"/>
    <w:rsid w:val="00274175"/>
    <w:rsid w:val="002745DA"/>
    <w:rsid w:val="00275C21"/>
    <w:rsid w:val="00280653"/>
    <w:rsid w:val="0028749C"/>
    <w:rsid w:val="00296360"/>
    <w:rsid w:val="00297AB9"/>
    <w:rsid w:val="002A0665"/>
    <w:rsid w:val="002B3C60"/>
    <w:rsid w:val="002B724D"/>
    <w:rsid w:val="002C2D4F"/>
    <w:rsid w:val="002D2E43"/>
    <w:rsid w:val="002E16D1"/>
    <w:rsid w:val="002E46AF"/>
    <w:rsid w:val="00306359"/>
    <w:rsid w:val="003072CE"/>
    <w:rsid w:val="00307FC0"/>
    <w:rsid w:val="003108EF"/>
    <w:rsid w:val="00330870"/>
    <w:rsid w:val="00331755"/>
    <w:rsid w:val="003341B2"/>
    <w:rsid w:val="00343133"/>
    <w:rsid w:val="0034573F"/>
    <w:rsid w:val="0035586D"/>
    <w:rsid w:val="0035645B"/>
    <w:rsid w:val="0036289E"/>
    <w:rsid w:val="00364FC8"/>
    <w:rsid w:val="003705A7"/>
    <w:rsid w:val="003747C4"/>
    <w:rsid w:val="00375483"/>
    <w:rsid w:val="00380401"/>
    <w:rsid w:val="00381001"/>
    <w:rsid w:val="00382229"/>
    <w:rsid w:val="00384859"/>
    <w:rsid w:val="003848BF"/>
    <w:rsid w:val="00390087"/>
    <w:rsid w:val="00390610"/>
    <w:rsid w:val="00392434"/>
    <w:rsid w:val="003976C4"/>
    <w:rsid w:val="003B2D2D"/>
    <w:rsid w:val="003B527A"/>
    <w:rsid w:val="003B6351"/>
    <w:rsid w:val="003C1947"/>
    <w:rsid w:val="003C3D29"/>
    <w:rsid w:val="003C647A"/>
    <w:rsid w:val="003D6F09"/>
    <w:rsid w:val="003E4676"/>
    <w:rsid w:val="003E5ABB"/>
    <w:rsid w:val="003F3A21"/>
    <w:rsid w:val="003F4558"/>
    <w:rsid w:val="00400B43"/>
    <w:rsid w:val="00425183"/>
    <w:rsid w:val="0042616F"/>
    <w:rsid w:val="004266BB"/>
    <w:rsid w:val="00426713"/>
    <w:rsid w:val="00430284"/>
    <w:rsid w:val="00431FEA"/>
    <w:rsid w:val="00432AD4"/>
    <w:rsid w:val="00435AAC"/>
    <w:rsid w:val="004378EB"/>
    <w:rsid w:val="004509E0"/>
    <w:rsid w:val="00454319"/>
    <w:rsid w:val="004572EA"/>
    <w:rsid w:val="004601C5"/>
    <w:rsid w:val="00461077"/>
    <w:rsid w:val="00461A02"/>
    <w:rsid w:val="00464E5C"/>
    <w:rsid w:val="00465555"/>
    <w:rsid w:val="0049043D"/>
    <w:rsid w:val="004B3B33"/>
    <w:rsid w:val="004B5B6B"/>
    <w:rsid w:val="004B6543"/>
    <w:rsid w:val="004B6DE1"/>
    <w:rsid w:val="004B721B"/>
    <w:rsid w:val="004C2097"/>
    <w:rsid w:val="004C6021"/>
    <w:rsid w:val="004C6F06"/>
    <w:rsid w:val="004D071B"/>
    <w:rsid w:val="004D27EF"/>
    <w:rsid w:val="004D3B83"/>
    <w:rsid w:val="004D7D8A"/>
    <w:rsid w:val="004D7E6D"/>
    <w:rsid w:val="004E188E"/>
    <w:rsid w:val="004F27CC"/>
    <w:rsid w:val="004F6B56"/>
    <w:rsid w:val="004F730A"/>
    <w:rsid w:val="004F7B16"/>
    <w:rsid w:val="005115F1"/>
    <w:rsid w:val="00512BE9"/>
    <w:rsid w:val="00513644"/>
    <w:rsid w:val="00513C13"/>
    <w:rsid w:val="00523B28"/>
    <w:rsid w:val="00523EE9"/>
    <w:rsid w:val="00524C52"/>
    <w:rsid w:val="00527AEE"/>
    <w:rsid w:val="00530420"/>
    <w:rsid w:val="00531D6D"/>
    <w:rsid w:val="00536F64"/>
    <w:rsid w:val="005462D8"/>
    <w:rsid w:val="00546E49"/>
    <w:rsid w:val="005512B3"/>
    <w:rsid w:val="00551400"/>
    <w:rsid w:val="005516AE"/>
    <w:rsid w:val="005518CE"/>
    <w:rsid w:val="00554D22"/>
    <w:rsid w:val="00554FBE"/>
    <w:rsid w:val="005605B8"/>
    <w:rsid w:val="005724A5"/>
    <w:rsid w:val="005744AB"/>
    <w:rsid w:val="005817CB"/>
    <w:rsid w:val="005818A7"/>
    <w:rsid w:val="0058623C"/>
    <w:rsid w:val="005A15FD"/>
    <w:rsid w:val="005A1773"/>
    <w:rsid w:val="005A3933"/>
    <w:rsid w:val="005B4871"/>
    <w:rsid w:val="005B5150"/>
    <w:rsid w:val="005C3095"/>
    <w:rsid w:val="005D36C7"/>
    <w:rsid w:val="005D4E8F"/>
    <w:rsid w:val="005E2983"/>
    <w:rsid w:val="005E326C"/>
    <w:rsid w:val="005E51EF"/>
    <w:rsid w:val="005E6B16"/>
    <w:rsid w:val="005F367F"/>
    <w:rsid w:val="005F7B90"/>
    <w:rsid w:val="005F7C75"/>
    <w:rsid w:val="0061214A"/>
    <w:rsid w:val="00620FC2"/>
    <w:rsid w:val="00621373"/>
    <w:rsid w:val="0062161F"/>
    <w:rsid w:val="006425A3"/>
    <w:rsid w:val="0064710A"/>
    <w:rsid w:val="00665DA1"/>
    <w:rsid w:val="00670040"/>
    <w:rsid w:val="006707C3"/>
    <w:rsid w:val="0067249D"/>
    <w:rsid w:val="0067687A"/>
    <w:rsid w:val="00677CEF"/>
    <w:rsid w:val="00694EB0"/>
    <w:rsid w:val="006976B5"/>
    <w:rsid w:val="006A217D"/>
    <w:rsid w:val="006A22EA"/>
    <w:rsid w:val="006A2BA9"/>
    <w:rsid w:val="006C24F9"/>
    <w:rsid w:val="006C2B9C"/>
    <w:rsid w:val="006C571F"/>
    <w:rsid w:val="006C6744"/>
    <w:rsid w:val="006D3429"/>
    <w:rsid w:val="006E0999"/>
    <w:rsid w:val="006E2F8E"/>
    <w:rsid w:val="006F04FA"/>
    <w:rsid w:val="0070269E"/>
    <w:rsid w:val="0070358E"/>
    <w:rsid w:val="007043DC"/>
    <w:rsid w:val="007075D9"/>
    <w:rsid w:val="00721933"/>
    <w:rsid w:val="00733162"/>
    <w:rsid w:val="00736064"/>
    <w:rsid w:val="00737C50"/>
    <w:rsid w:val="00740A42"/>
    <w:rsid w:val="00743460"/>
    <w:rsid w:val="00746BDD"/>
    <w:rsid w:val="00751DCC"/>
    <w:rsid w:val="00753E44"/>
    <w:rsid w:val="00754035"/>
    <w:rsid w:val="00754C28"/>
    <w:rsid w:val="007562E4"/>
    <w:rsid w:val="007572C3"/>
    <w:rsid w:val="00762CA7"/>
    <w:rsid w:val="00766498"/>
    <w:rsid w:val="007734E5"/>
    <w:rsid w:val="00773960"/>
    <w:rsid w:val="00773D65"/>
    <w:rsid w:val="0078399C"/>
    <w:rsid w:val="0079323F"/>
    <w:rsid w:val="00796649"/>
    <w:rsid w:val="007B4A6F"/>
    <w:rsid w:val="007C36EA"/>
    <w:rsid w:val="007C4C29"/>
    <w:rsid w:val="007D02BA"/>
    <w:rsid w:val="007D4194"/>
    <w:rsid w:val="007E33FE"/>
    <w:rsid w:val="007F5113"/>
    <w:rsid w:val="008002F6"/>
    <w:rsid w:val="00800AAA"/>
    <w:rsid w:val="00812E0E"/>
    <w:rsid w:val="00817160"/>
    <w:rsid w:val="0082000C"/>
    <w:rsid w:val="0082201D"/>
    <w:rsid w:val="00823B0F"/>
    <w:rsid w:val="008275AE"/>
    <w:rsid w:val="008319DA"/>
    <w:rsid w:val="00840D84"/>
    <w:rsid w:val="00845FE0"/>
    <w:rsid w:val="0084632B"/>
    <w:rsid w:val="00856AD1"/>
    <w:rsid w:val="00857D18"/>
    <w:rsid w:val="0086158F"/>
    <w:rsid w:val="00866C09"/>
    <w:rsid w:val="008673C5"/>
    <w:rsid w:val="00874D1C"/>
    <w:rsid w:val="00875762"/>
    <w:rsid w:val="00875A75"/>
    <w:rsid w:val="008921D2"/>
    <w:rsid w:val="00893227"/>
    <w:rsid w:val="0089441E"/>
    <w:rsid w:val="008A271A"/>
    <w:rsid w:val="008B515F"/>
    <w:rsid w:val="008B5A5C"/>
    <w:rsid w:val="008C22C3"/>
    <w:rsid w:val="008D2D65"/>
    <w:rsid w:val="008E1DC9"/>
    <w:rsid w:val="008E21D5"/>
    <w:rsid w:val="008E2F3A"/>
    <w:rsid w:val="008F2331"/>
    <w:rsid w:val="008F6090"/>
    <w:rsid w:val="009051D2"/>
    <w:rsid w:val="009147BA"/>
    <w:rsid w:val="00916FF4"/>
    <w:rsid w:val="00921D74"/>
    <w:rsid w:val="00934AC4"/>
    <w:rsid w:val="00945C10"/>
    <w:rsid w:val="00945FB3"/>
    <w:rsid w:val="00963086"/>
    <w:rsid w:val="009676B9"/>
    <w:rsid w:val="009678FD"/>
    <w:rsid w:val="00972B5D"/>
    <w:rsid w:val="00985BD8"/>
    <w:rsid w:val="009878B7"/>
    <w:rsid w:val="009937A7"/>
    <w:rsid w:val="009937D6"/>
    <w:rsid w:val="00995EAA"/>
    <w:rsid w:val="009A2AB6"/>
    <w:rsid w:val="009A3AA5"/>
    <w:rsid w:val="009A3DE8"/>
    <w:rsid w:val="009A77F5"/>
    <w:rsid w:val="009A7E88"/>
    <w:rsid w:val="009B0983"/>
    <w:rsid w:val="009B1263"/>
    <w:rsid w:val="009B4FCB"/>
    <w:rsid w:val="009C5BC3"/>
    <w:rsid w:val="009C6EB5"/>
    <w:rsid w:val="009C7393"/>
    <w:rsid w:val="009D23BA"/>
    <w:rsid w:val="009E1F23"/>
    <w:rsid w:val="009E26CD"/>
    <w:rsid w:val="009E434B"/>
    <w:rsid w:val="009E593B"/>
    <w:rsid w:val="009F00A2"/>
    <w:rsid w:val="00A026A7"/>
    <w:rsid w:val="00A1154F"/>
    <w:rsid w:val="00A119D4"/>
    <w:rsid w:val="00A16799"/>
    <w:rsid w:val="00A263A3"/>
    <w:rsid w:val="00A278AF"/>
    <w:rsid w:val="00A27C73"/>
    <w:rsid w:val="00A3206B"/>
    <w:rsid w:val="00A410E7"/>
    <w:rsid w:val="00A46C40"/>
    <w:rsid w:val="00A47CC5"/>
    <w:rsid w:val="00A5360D"/>
    <w:rsid w:val="00A7076D"/>
    <w:rsid w:val="00A844B1"/>
    <w:rsid w:val="00A87D5D"/>
    <w:rsid w:val="00A97B5D"/>
    <w:rsid w:val="00AA1E30"/>
    <w:rsid w:val="00AA4BDD"/>
    <w:rsid w:val="00AA5E6A"/>
    <w:rsid w:val="00AB3710"/>
    <w:rsid w:val="00AC6306"/>
    <w:rsid w:val="00AD751C"/>
    <w:rsid w:val="00AE2BFA"/>
    <w:rsid w:val="00AE35DF"/>
    <w:rsid w:val="00AF4B7E"/>
    <w:rsid w:val="00B004E2"/>
    <w:rsid w:val="00B01387"/>
    <w:rsid w:val="00B047B9"/>
    <w:rsid w:val="00B04F47"/>
    <w:rsid w:val="00B07D32"/>
    <w:rsid w:val="00B11617"/>
    <w:rsid w:val="00B121FF"/>
    <w:rsid w:val="00B26BD7"/>
    <w:rsid w:val="00B37218"/>
    <w:rsid w:val="00B557A0"/>
    <w:rsid w:val="00B65B3D"/>
    <w:rsid w:val="00B67FD6"/>
    <w:rsid w:val="00B728A1"/>
    <w:rsid w:val="00B82543"/>
    <w:rsid w:val="00B8270F"/>
    <w:rsid w:val="00B833A5"/>
    <w:rsid w:val="00B84708"/>
    <w:rsid w:val="00B93AE5"/>
    <w:rsid w:val="00B93D87"/>
    <w:rsid w:val="00BA2244"/>
    <w:rsid w:val="00BA5BAC"/>
    <w:rsid w:val="00BA7137"/>
    <w:rsid w:val="00BB1ABD"/>
    <w:rsid w:val="00BC2B3C"/>
    <w:rsid w:val="00BC5324"/>
    <w:rsid w:val="00BC537C"/>
    <w:rsid w:val="00BD245A"/>
    <w:rsid w:val="00BE0532"/>
    <w:rsid w:val="00BE1D36"/>
    <w:rsid w:val="00BE1DA3"/>
    <w:rsid w:val="00BE607B"/>
    <w:rsid w:val="00BF1625"/>
    <w:rsid w:val="00C07991"/>
    <w:rsid w:val="00C13419"/>
    <w:rsid w:val="00C21C7D"/>
    <w:rsid w:val="00C24813"/>
    <w:rsid w:val="00C31E50"/>
    <w:rsid w:val="00C33794"/>
    <w:rsid w:val="00C3637E"/>
    <w:rsid w:val="00C36CA2"/>
    <w:rsid w:val="00C41C92"/>
    <w:rsid w:val="00C47733"/>
    <w:rsid w:val="00C54290"/>
    <w:rsid w:val="00C60F13"/>
    <w:rsid w:val="00C62B04"/>
    <w:rsid w:val="00C649D2"/>
    <w:rsid w:val="00C709E6"/>
    <w:rsid w:val="00C76856"/>
    <w:rsid w:val="00C80072"/>
    <w:rsid w:val="00C949EB"/>
    <w:rsid w:val="00CA0BDB"/>
    <w:rsid w:val="00CA7572"/>
    <w:rsid w:val="00CB250A"/>
    <w:rsid w:val="00CD2450"/>
    <w:rsid w:val="00CF1671"/>
    <w:rsid w:val="00CF50A7"/>
    <w:rsid w:val="00CF7ED4"/>
    <w:rsid w:val="00D002CE"/>
    <w:rsid w:val="00D05035"/>
    <w:rsid w:val="00D06019"/>
    <w:rsid w:val="00D06813"/>
    <w:rsid w:val="00D1187C"/>
    <w:rsid w:val="00D30032"/>
    <w:rsid w:val="00D3034F"/>
    <w:rsid w:val="00D31B31"/>
    <w:rsid w:val="00D35D00"/>
    <w:rsid w:val="00D4246E"/>
    <w:rsid w:val="00D445DD"/>
    <w:rsid w:val="00D46C1C"/>
    <w:rsid w:val="00D51222"/>
    <w:rsid w:val="00D60AB9"/>
    <w:rsid w:val="00D632EC"/>
    <w:rsid w:val="00D64315"/>
    <w:rsid w:val="00D75D4B"/>
    <w:rsid w:val="00D77620"/>
    <w:rsid w:val="00D8488E"/>
    <w:rsid w:val="00D874B1"/>
    <w:rsid w:val="00DA0336"/>
    <w:rsid w:val="00DB3CF7"/>
    <w:rsid w:val="00DB3D6F"/>
    <w:rsid w:val="00DB71AF"/>
    <w:rsid w:val="00DC6447"/>
    <w:rsid w:val="00DD1350"/>
    <w:rsid w:val="00DD281A"/>
    <w:rsid w:val="00DD32E5"/>
    <w:rsid w:val="00DD6268"/>
    <w:rsid w:val="00DE0030"/>
    <w:rsid w:val="00DE4CB5"/>
    <w:rsid w:val="00DE7E4D"/>
    <w:rsid w:val="00DF0743"/>
    <w:rsid w:val="00DF1D70"/>
    <w:rsid w:val="00DF3A0B"/>
    <w:rsid w:val="00DF729F"/>
    <w:rsid w:val="00E05EFA"/>
    <w:rsid w:val="00E066E5"/>
    <w:rsid w:val="00E17F0B"/>
    <w:rsid w:val="00E31C6D"/>
    <w:rsid w:val="00E45E7D"/>
    <w:rsid w:val="00E53708"/>
    <w:rsid w:val="00E7264B"/>
    <w:rsid w:val="00E736DD"/>
    <w:rsid w:val="00E74CD4"/>
    <w:rsid w:val="00E76550"/>
    <w:rsid w:val="00E82376"/>
    <w:rsid w:val="00E94264"/>
    <w:rsid w:val="00EA23CE"/>
    <w:rsid w:val="00EC0076"/>
    <w:rsid w:val="00EE7261"/>
    <w:rsid w:val="00EF3E09"/>
    <w:rsid w:val="00F00FAF"/>
    <w:rsid w:val="00F14482"/>
    <w:rsid w:val="00F357B3"/>
    <w:rsid w:val="00F4397B"/>
    <w:rsid w:val="00F541E9"/>
    <w:rsid w:val="00F6606F"/>
    <w:rsid w:val="00F779F8"/>
    <w:rsid w:val="00F834A0"/>
    <w:rsid w:val="00F8603C"/>
    <w:rsid w:val="00F95666"/>
    <w:rsid w:val="00FA0118"/>
    <w:rsid w:val="00FB6007"/>
    <w:rsid w:val="00FB772B"/>
    <w:rsid w:val="00FC142D"/>
    <w:rsid w:val="00FC357D"/>
    <w:rsid w:val="00FD2282"/>
    <w:rsid w:val="00FD4165"/>
    <w:rsid w:val="00FD7550"/>
    <w:rsid w:val="00FE18FD"/>
    <w:rsid w:val="00FF774A"/>
    <w:rsid w:val="029A5F34"/>
    <w:rsid w:val="03DF70E9"/>
    <w:rsid w:val="041F269F"/>
    <w:rsid w:val="08F316BF"/>
    <w:rsid w:val="0E511185"/>
    <w:rsid w:val="1015401E"/>
    <w:rsid w:val="122A6399"/>
    <w:rsid w:val="12AB39AF"/>
    <w:rsid w:val="16B90C56"/>
    <w:rsid w:val="193676E0"/>
    <w:rsid w:val="1C723D3B"/>
    <w:rsid w:val="1E2C078D"/>
    <w:rsid w:val="23815D4C"/>
    <w:rsid w:val="24634140"/>
    <w:rsid w:val="2A863051"/>
    <w:rsid w:val="2D5F5CFD"/>
    <w:rsid w:val="2E5F36A1"/>
    <w:rsid w:val="2F487DB9"/>
    <w:rsid w:val="323352EB"/>
    <w:rsid w:val="34BD7A5D"/>
    <w:rsid w:val="35B20725"/>
    <w:rsid w:val="3B543BE4"/>
    <w:rsid w:val="3E790F0E"/>
    <w:rsid w:val="3E8E1DAD"/>
    <w:rsid w:val="406A5E3B"/>
    <w:rsid w:val="41A8579F"/>
    <w:rsid w:val="423964F5"/>
    <w:rsid w:val="45EF524D"/>
    <w:rsid w:val="47BA7D3C"/>
    <w:rsid w:val="47FD7C7C"/>
    <w:rsid w:val="48166DD0"/>
    <w:rsid w:val="488C23F0"/>
    <w:rsid w:val="49C224B6"/>
    <w:rsid w:val="4FDB00C9"/>
    <w:rsid w:val="53F41D4A"/>
    <w:rsid w:val="54252519"/>
    <w:rsid w:val="55CA644D"/>
    <w:rsid w:val="55DF63F2"/>
    <w:rsid w:val="59A776A2"/>
    <w:rsid w:val="643477F7"/>
    <w:rsid w:val="646621C4"/>
    <w:rsid w:val="67523E91"/>
    <w:rsid w:val="68053934"/>
    <w:rsid w:val="69752891"/>
    <w:rsid w:val="74674908"/>
    <w:rsid w:val="776F6CF4"/>
    <w:rsid w:val="77B6098F"/>
    <w:rsid w:val="77EC1C4C"/>
    <w:rsid w:val="7CCE0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2E93C"/>
  <w15:chartTrackingRefBased/>
  <w15:docId w15:val="{8823C740-2815-4390-B88D-3193074B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NormalWeb">
    <w:name w:val="Normal (Web)"/>
    <w:basedOn w:val="Normal"/>
    <w:link w:val="NormalWebChar"/>
    <w:uiPriority w:val="99"/>
    <w:unhideWhenUsed/>
    <w:qFormat/>
    <w:pPr>
      <w:spacing w:before="100" w:beforeAutospacing="1" w:after="100" w:afterAutospacing="1"/>
    </w:pPr>
  </w:style>
  <w:style w:type="character" w:customStyle="1" w:styleId="NormalWebChar">
    <w:name w:val="Normal (Web) Char"/>
    <w:link w:val="NormalWeb"/>
    <w:uiPriority w:val="99"/>
    <w:locked/>
    <w:rPr>
      <w:sz w:val="24"/>
      <w:szCs w:val="24"/>
    </w:rPr>
  </w:style>
  <w:style w:type="character" w:styleId="PageNumber">
    <w:name w:val="page number"/>
  </w:style>
  <w:style w:type="character" w:customStyle="1" w:styleId="Vnbnnidung2">
    <w:name w:val="Văn bản nội dung (2)_"/>
    <w:link w:val="Vnbnnidung20"/>
    <w:rPr>
      <w:sz w:val="26"/>
      <w:szCs w:val="26"/>
    </w:rPr>
  </w:style>
  <w:style w:type="paragraph" w:customStyle="1" w:styleId="Vnbnnidung20">
    <w:name w:val="Văn bản nội dung (2)"/>
    <w:basedOn w:val="Normal"/>
    <w:link w:val="Vnbnnidung2"/>
    <w:pPr>
      <w:widowControl w:val="0"/>
      <w:spacing w:after="40" w:line="259" w:lineRule="auto"/>
      <w:ind w:firstLine="720"/>
    </w:pPr>
    <w:rPr>
      <w:sz w:val="26"/>
      <w:szCs w:val="26"/>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99"/>
    <w:unhideWhenUsed/>
    <w:rsid w:val="00DD6268"/>
    <w:pPr>
      <w:widowControl w:val="0"/>
      <w:spacing w:after="120"/>
    </w:pPr>
    <w:rPr>
      <w:rFonts w:ascii="Courier New" w:eastAsia="Courier New" w:hAnsi="Courier New" w:cs="Courier New"/>
      <w:color w:val="000000"/>
      <w:lang w:val="vi-VN" w:eastAsia="vi-VN"/>
    </w:rPr>
  </w:style>
  <w:style w:type="character" w:customStyle="1" w:styleId="BodyTextChar">
    <w:name w:val="Body Text Char"/>
    <w:link w:val="BodyText"/>
    <w:uiPriority w:val="99"/>
    <w:rsid w:val="00DD6268"/>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86158F"/>
    <w:rPr>
      <w:rFonts w:ascii="Segoe UI" w:hAnsi="Segoe UI" w:cs="Segoe UI"/>
      <w:sz w:val="18"/>
      <w:szCs w:val="18"/>
    </w:rPr>
  </w:style>
  <w:style w:type="character" w:customStyle="1" w:styleId="BalloonTextChar">
    <w:name w:val="Balloon Text Char"/>
    <w:link w:val="BalloonText"/>
    <w:uiPriority w:val="99"/>
    <w:semiHidden/>
    <w:rsid w:val="008615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28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gvdsgsdg</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8</cp:revision>
  <cp:lastPrinted>2025-10-31T04:17:00Z</cp:lastPrinted>
  <dcterms:created xsi:type="dcterms:W3CDTF">2025-11-04T09:47:00Z</dcterms:created>
  <dcterms:modified xsi:type="dcterms:W3CDTF">2025-11-13T07:13:00Z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A4147A666097471F934338CC57FFF629_12</vt:lpwstr>
  </property>
</Properties>
</file>