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4"/>
      </w:tblGrid>
      <w:tr w:rsidR="0045314A" w:rsidRPr="009227AE" w14:paraId="443C97A0" w14:textId="77777777" w:rsidTr="00D05C33">
        <w:tc>
          <w:tcPr>
            <w:tcW w:w="3828" w:type="dxa"/>
          </w:tcPr>
          <w:p w14:paraId="145B547C" w14:textId="77777777" w:rsidR="0045314A" w:rsidRPr="009227AE" w:rsidRDefault="0045314A" w:rsidP="00FB3950">
            <w:pPr>
              <w:spacing w:after="120" w:line="240" w:lineRule="auto"/>
              <w:contextualSpacing/>
              <w:jc w:val="center"/>
              <w:rPr>
                <w:rFonts w:ascii="Times New Roman" w:hAnsi="Times New Roman" w:cs="Times New Roman"/>
                <w:b/>
                <w:sz w:val="26"/>
                <w:szCs w:val="28"/>
              </w:rPr>
            </w:pPr>
            <w:r w:rsidRPr="009227AE">
              <w:rPr>
                <w:rFonts w:ascii="Times New Roman" w:hAnsi="Times New Roman" w:cs="Times New Roman"/>
                <w:b/>
                <w:sz w:val="26"/>
                <w:szCs w:val="28"/>
              </w:rPr>
              <w:t>HỘI ĐỒNG NHÂN DÂN</w:t>
            </w:r>
          </w:p>
          <w:p w14:paraId="0EC4C675" w14:textId="3B0183F7" w:rsidR="0045314A" w:rsidRPr="009227AE" w:rsidRDefault="00FB3A93" w:rsidP="00FB3950">
            <w:pPr>
              <w:spacing w:after="120" w:line="240" w:lineRule="auto"/>
              <w:contextualSpacing/>
              <w:jc w:val="center"/>
              <w:rPr>
                <w:rFonts w:ascii="Times New Roman" w:hAnsi="Times New Roman" w:cs="Times New Roman"/>
                <w:b/>
                <w:sz w:val="26"/>
                <w:szCs w:val="28"/>
              </w:rPr>
            </w:pPr>
            <w:r w:rsidRPr="009227AE">
              <w:rPr>
                <w:rFonts w:ascii="Times New Roman" w:hAnsi="Times New Roman" w:cs="Times New Roman"/>
                <w:noProof/>
                <w:sz w:val="14"/>
                <w:szCs w:val="28"/>
              </w:rPr>
              <mc:AlternateContent>
                <mc:Choice Requires="wps">
                  <w:drawing>
                    <wp:anchor distT="0" distB="0" distL="114300" distR="114300" simplePos="0" relativeHeight="251659264" behindDoc="0" locked="0" layoutInCell="1" allowOverlap="1" wp14:anchorId="21AFE743" wp14:editId="16725247">
                      <wp:simplePos x="0" y="0"/>
                      <wp:positionH relativeFrom="column">
                        <wp:posOffset>728345</wp:posOffset>
                      </wp:positionH>
                      <wp:positionV relativeFrom="paragraph">
                        <wp:posOffset>188595</wp:posOffset>
                      </wp:positionV>
                      <wp:extent cx="755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565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3597D1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5pt,14.85pt" to="116.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" strokecolor="black [3200]">
                      <v:stroke joinstyle="miter"/>
                    </v:line>
                  </w:pict>
                </mc:Fallback>
              </mc:AlternateContent>
            </w:r>
            <w:r w:rsidR="0045314A" w:rsidRPr="009227AE">
              <w:rPr>
                <w:rFonts w:ascii="Times New Roman" w:hAnsi="Times New Roman" w:cs="Times New Roman"/>
                <w:b/>
                <w:sz w:val="26"/>
                <w:szCs w:val="28"/>
              </w:rPr>
              <w:t>THÀNH PHỐ HỒ CHÍ MINH</w:t>
            </w:r>
          </w:p>
          <w:p w14:paraId="2DFE2CD4" w14:textId="3BE77F0A" w:rsidR="0045314A" w:rsidRPr="009227AE" w:rsidRDefault="0045314A" w:rsidP="00FB3950">
            <w:pPr>
              <w:spacing w:after="120" w:line="240" w:lineRule="auto"/>
              <w:contextualSpacing/>
              <w:jc w:val="both"/>
              <w:rPr>
                <w:rFonts w:ascii="Times New Roman" w:hAnsi="Times New Roman" w:cs="Times New Roman"/>
                <w:sz w:val="14"/>
                <w:szCs w:val="28"/>
              </w:rPr>
            </w:pPr>
          </w:p>
          <w:p w14:paraId="0B0A8EF2" w14:textId="5CA6B630" w:rsidR="0045314A" w:rsidRPr="00FB3A93" w:rsidRDefault="0045314A" w:rsidP="00FB3950">
            <w:pPr>
              <w:spacing w:after="120" w:line="240" w:lineRule="auto"/>
              <w:contextualSpacing/>
              <w:jc w:val="center"/>
              <w:rPr>
                <w:rFonts w:ascii="Times New Roman" w:hAnsi="Times New Roman" w:cs="Times New Roman"/>
                <w:sz w:val="26"/>
                <w:szCs w:val="26"/>
              </w:rPr>
            </w:pPr>
            <w:r w:rsidRPr="00FB3A93">
              <w:rPr>
                <w:rFonts w:ascii="Times New Roman" w:hAnsi="Times New Roman" w:cs="Times New Roman"/>
                <w:sz w:val="26"/>
                <w:szCs w:val="26"/>
              </w:rPr>
              <w:t xml:space="preserve">Số: </w:t>
            </w:r>
            <w:r w:rsidR="00FB3A93" w:rsidRPr="00FB3A93">
              <w:rPr>
                <w:rFonts w:ascii="Times New Roman" w:hAnsi="Times New Roman" w:cs="Times New Roman"/>
                <w:sz w:val="26"/>
                <w:szCs w:val="26"/>
              </w:rPr>
              <w:t xml:space="preserve">  </w:t>
            </w:r>
            <w:r w:rsidR="00064F1E">
              <w:rPr>
                <w:rFonts w:ascii="Times New Roman" w:hAnsi="Times New Roman" w:cs="Times New Roman"/>
                <w:sz w:val="26"/>
                <w:szCs w:val="26"/>
              </w:rPr>
              <w:t xml:space="preserve">     </w:t>
            </w:r>
            <w:r w:rsidR="00FB3A93" w:rsidRPr="00FB3A93">
              <w:rPr>
                <w:rFonts w:ascii="Times New Roman" w:hAnsi="Times New Roman" w:cs="Times New Roman"/>
                <w:sz w:val="26"/>
                <w:szCs w:val="26"/>
              </w:rPr>
              <w:t xml:space="preserve">    </w:t>
            </w:r>
            <w:r w:rsidRPr="00FB3A93">
              <w:rPr>
                <w:rFonts w:ascii="Times New Roman" w:hAnsi="Times New Roman" w:cs="Times New Roman"/>
                <w:sz w:val="26"/>
                <w:szCs w:val="26"/>
              </w:rPr>
              <w:t>/2025/NQ-HĐND</w:t>
            </w:r>
          </w:p>
        </w:tc>
        <w:tc>
          <w:tcPr>
            <w:tcW w:w="5954" w:type="dxa"/>
          </w:tcPr>
          <w:p w14:paraId="2F1A89CB" w14:textId="77777777" w:rsidR="0045314A" w:rsidRPr="009227AE" w:rsidRDefault="0045314A" w:rsidP="00FB3950">
            <w:pPr>
              <w:spacing w:after="120" w:line="240" w:lineRule="auto"/>
              <w:contextualSpacing/>
              <w:jc w:val="both"/>
              <w:rPr>
                <w:rFonts w:ascii="Times New Roman" w:hAnsi="Times New Roman" w:cs="Times New Roman"/>
                <w:b/>
                <w:sz w:val="26"/>
                <w:szCs w:val="28"/>
              </w:rPr>
            </w:pPr>
            <w:r w:rsidRPr="009227AE">
              <w:rPr>
                <w:rFonts w:ascii="Times New Roman" w:hAnsi="Times New Roman" w:cs="Times New Roman"/>
                <w:b/>
                <w:sz w:val="26"/>
                <w:szCs w:val="28"/>
              </w:rPr>
              <w:t>CỘNG HÒA XÃ HỘI CHỦ NGHĨA VIỆT NAM</w:t>
            </w:r>
          </w:p>
          <w:p w14:paraId="28250D36" w14:textId="77777777" w:rsidR="0045314A" w:rsidRPr="009227AE" w:rsidRDefault="0045314A" w:rsidP="00FB3950">
            <w:pPr>
              <w:spacing w:after="120" w:line="240" w:lineRule="auto"/>
              <w:contextualSpacing/>
              <w:jc w:val="center"/>
              <w:rPr>
                <w:rFonts w:ascii="Times New Roman" w:hAnsi="Times New Roman" w:cs="Times New Roman"/>
                <w:b/>
                <w:sz w:val="26"/>
                <w:szCs w:val="28"/>
              </w:rPr>
            </w:pPr>
            <w:r w:rsidRPr="009227AE">
              <w:rPr>
                <w:rFonts w:ascii="Times New Roman" w:hAnsi="Times New Roman" w:cs="Times New Roman"/>
                <w:b/>
                <w:sz w:val="26"/>
                <w:szCs w:val="28"/>
              </w:rPr>
              <w:t>Độc lập - Tự do - Hạnh phúc</w:t>
            </w:r>
          </w:p>
          <w:p w14:paraId="307889A4" w14:textId="77777777" w:rsidR="0045314A" w:rsidRPr="009227AE" w:rsidRDefault="0045314A" w:rsidP="00FB3950">
            <w:pPr>
              <w:spacing w:after="120" w:line="240" w:lineRule="auto"/>
              <w:contextualSpacing/>
              <w:jc w:val="center"/>
              <w:rPr>
                <w:rFonts w:ascii="Times New Roman" w:hAnsi="Times New Roman" w:cs="Times New Roman"/>
                <w:sz w:val="14"/>
                <w:szCs w:val="28"/>
              </w:rPr>
            </w:pPr>
            <w:r w:rsidRPr="009227AE">
              <w:rPr>
                <w:rFonts w:ascii="Times New Roman" w:hAnsi="Times New Roman" w:cs="Times New Roman"/>
                <w:noProof/>
                <w:sz w:val="14"/>
                <w:szCs w:val="28"/>
              </w:rPr>
              <mc:AlternateContent>
                <mc:Choice Requires="wps">
                  <w:drawing>
                    <wp:anchor distT="0" distB="0" distL="114300" distR="114300" simplePos="0" relativeHeight="251660288" behindDoc="0" locked="0" layoutInCell="1" allowOverlap="1" wp14:anchorId="7E0715DE" wp14:editId="70DEE3C0">
                      <wp:simplePos x="0" y="0"/>
                      <wp:positionH relativeFrom="column">
                        <wp:posOffset>821690</wp:posOffset>
                      </wp:positionH>
                      <wp:positionV relativeFrom="paragraph">
                        <wp:posOffset>26509</wp:posOffset>
                      </wp:positionV>
                      <wp:extent cx="184912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1849120"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78B71F5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7pt,2.1pt" to="210.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" strokecolor="black [3200]">
                      <v:stroke joinstyle="miter"/>
                    </v:line>
                  </w:pict>
                </mc:Fallback>
              </mc:AlternateContent>
            </w:r>
          </w:p>
          <w:p w14:paraId="1B4514D3" w14:textId="77777777" w:rsidR="0045314A" w:rsidRPr="009227AE" w:rsidRDefault="0045314A" w:rsidP="00FB3950">
            <w:pPr>
              <w:spacing w:after="120" w:line="240" w:lineRule="auto"/>
              <w:contextualSpacing/>
              <w:jc w:val="right"/>
              <w:rPr>
                <w:rFonts w:ascii="Times New Roman" w:hAnsi="Times New Roman" w:cs="Times New Roman"/>
                <w:i/>
                <w:sz w:val="26"/>
                <w:szCs w:val="28"/>
              </w:rPr>
            </w:pPr>
            <w:r w:rsidRPr="009227AE">
              <w:rPr>
                <w:rFonts w:ascii="Times New Roman" w:hAnsi="Times New Roman" w:cs="Times New Roman"/>
                <w:i/>
                <w:sz w:val="26"/>
                <w:szCs w:val="28"/>
              </w:rPr>
              <w:t>Thành phố Hồ Chí Minh, ngày       tháng      năm 2025</w:t>
            </w:r>
          </w:p>
        </w:tc>
      </w:tr>
    </w:tbl>
    <w:p w14:paraId="6391BF12" w14:textId="77777777" w:rsidR="0045314A" w:rsidRPr="009227AE" w:rsidRDefault="0045314A" w:rsidP="00FB3950">
      <w:pPr>
        <w:spacing w:after="120" w:line="240" w:lineRule="auto"/>
        <w:contextualSpacing/>
        <w:jc w:val="both"/>
        <w:rPr>
          <w:rFonts w:ascii="Times New Roman" w:hAnsi="Times New Roman" w:cs="Times New Roman"/>
          <w:sz w:val="28"/>
          <w:szCs w:val="28"/>
        </w:rPr>
      </w:pPr>
      <w:r w:rsidRPr="009227AE">
        <w:rPr>
          <w:rFonts w:ascii="Times New Roman" w:hAnsi="Times New Roman" w:cs="Times New Roman"/>
          <w:b/>
          <w:noProof/>
          <w:sz w:val="28"/>
          <w:szCs w:val="28"/>
        </w:rPr>
        <mc:AlternateContent>
          <mc:Choice Requires="wps">
            <w:drawing>
              <wp:anchor distT="45720" distB="45720" distL="114300" distR="114300" simplePos="0" relativeHeight="251661312" behindDoc="0" locked="0" layoutInCell="1" allowOverlap="1" wp14:anchorId="31D43190" wp14:editId="347E420C">
                <wp:simplePos x="0" y="0"/>
                <wp:positionH relativeFrom="column">
                  <wp:posOffset>254000</wp:posOffset>
                </wp:positionH>
                <wp:positionV relativeFrom="paragraph">
                  <wp:posOffset>94615</wp:posOffset>
                </wp:positionV>
                <wp:extent cx="1593850" cy="295910"/>
                <wp:effectExtent l="0" t="0" r="2540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95910"/>
                        </a:xfrm>
                        <a:prstGeom prst="rect">
                          <a:avLst/>
                        </a:prstGeom>
                        <a:solidFill>
                          <a:srgbClr val="FFFFFF"/>
                        </a:solidFill>
                        <a:ln w="9525">
                          <a:solidFill>
                            <a:srgbClr val="000000"/>
                          </a:solidFill>
                          <a:miter lim="800000"/>
                          <a:headEnd/>
                          <a:tailEnd/>
                        </a:ln>
                      </wps:spPr>
                      <wps:txbx>
                        <w:txbxContent>
                          <w:p w14:paraId="7A122F80" w14:textId="1ED12720" w:rsidR="001519D6" w:rsidRPr="00197F5C" w:rsidRDefault="001519D6" w:rsidP="0045314A">
                            <w:pPr>
                              <w:jc w:val="center"/>
                              <w:rPr>
                                <w:rFonts w:ascii="Times New Roman" w:hAnsi="Times New Roman" w:cs="Times New Roman"/>
                                <w:sz w:val="28"/>
                              </w:rPr>
                            </w:pPr>
                            <w:r w:rsidRPr="00197F5C">
                              <w:rPr>
                                <w:rFonts w:ascii="Times New Roman" w:hAnsi="Times New Roman" w:cs="Times New Roman"/>
                                <w:sz w:val="28"/>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31D43190" id="_x0000_t202" coordsize="21600,21600" o:spt="202" path="m,l,21600r21600,l21600,xe">
                <v:stroke joinstyle="miter"/>
                <v:path gradientshapeok="t" o:connecttype="rect"/>
              </v:shapetype>
              <v:shape id="Text Box 2" o:spid="_x0000_s1026" type="#_x0000_t202" style="position:absolute;left:0;text-align:left;margin-left:20pt;margin-top:7.45pt;width:125.5pt;height:2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">
                <v:textbox>
                  <w:txbxContent>
                    <w:p w14:paraId="7A122F80" w14:textId="1ED12720" w:rsidR="001519D6" w:rsidRPr="00197F5C" w:rsidRDefault="001519D6" w:rsidP="0045314A">
                      <w:pPr>
                        <w:jc w:val="center"/>
                        <w:rPr>
                          <w:rFonts w:ascii="Times New Roman" w:hAnsi="Times New Roman" w:cs="Times New Roman"/>
                          <w:sz w:val="28"/>
                        </w:rPr>
                      </w:pPr>
                      <w:r w:rsidRPr="00197F5C">
                        <w:rPr>
                          <w:rFonts w:ascii="Times New Roman" w:hAnsi="Times New Roman" w:cs="Times New Roman"/>
                          <w:sz w:val="28"/>
                        </w:rPr>
                        <w:t>DỰ THẢO</w:t>
                      </w:r>
                    </w:p>
                  </w:txbxContent>
                </v:textbox>
              </v:shape>
            </w:pict>
          </mc:Fallback>
        </mc:AlternateContent>
      </w:r>
    </w:p>
    <w:p w14:paraId="32D5690D" w14:textId="77777777" w:rsidR="009656A2" w:rsidRPr="009227AE" w:rsidRDefault="009656A2" w:rsidP="00FB3950">
      <w:pPr>
        <w:spacing w:after="0" w:line="240" w:lineRule="auto"/>
        <w:jc w:val="center"/>
        <w:rPr>
          <w:rFonts w:ascii="Times New Roman" w:hAnsi="Times New Roman" w:cs="Times New Roman"/>
          <w:b/>
          <w:sz w:val="20"/>
          <w:szCs w:val="20"/>
        </w:rPr>
      </w:pPr>
    </w:p>
    <w:p w14:paraId="695C0F98" w14:textId="45ADAD12" w:rsidR="0045314A" w:rsidRPr="009227AE" w:rsidRDefault="0045314A" w:rsidP="00FB3950">
      <w:pPr>
        <w:spacing w:after="0" w:line="240" w:lineRule="auto"/>
        <w:jc w:val="center"/>
        <w:rPr>
          <w:rFonts w:ascii="Times New Roman" w:hAnsi="Times New Roman" w:cs="Times New Roman"/>
          <w:b/>
          <w:sz w:val="28"/>
          <w:szCs w:val="28"/>
        </w:rPr>
      </w:pPr>
      <w:r w:rsidRPr="009227AE">
        <w:rPr>
          <w:rFonts w:ascii="Times New Roman" w:hAnsi="Times New Roman" w:cs="Times New Roman"/>
          <w:b/>
          <w:sz w:val="28"/>
          <w:szCs w:val="28"/>
        </w:rPr>
        <w:t>NGHỊ QUYẾT</w:t>
      </w:r>
    </w:p>
    <w:p w14:paraId="0BCF364E" w14:textId="77777777" w:rsidR="0045314A" w:rsidRPr="009227AE" w:rsidRDefault="0045314A" w:rsidP="00FB3950">
      <w:pPr>
        <w:spacing w:after="0" w:line="240" w:lineRule="auto"/>
        <w:jc w:val="center"/>
        <w:rPr>
          <w:rFonts w:ascii="Times New Roman" w:hAnsi="Times New Roman" w:cs="Times New Roman"/>
          <w:b/>
          <w:sz w:val="28"/>
          <w:szCs w:val="28"/>
        </w:rPr>
      </w:pPr>
      <w:r w:rsidRPr="009227AE">
        <w:rPr>
          <w:rFonts w:ascii="Times New Roman" w:hAnsi="Times New Roman" w:cs="Times New Roman"/>
          <w:b/>
          <w:sz w:val="28"/>
          <w:szCs w:val="28"/>
        </w:rPr>
        <w:t xml:space="preserve">Quy định chính sách hỗ trợ đối với công tác cai nghiện ma túy, </w:t>
      </w:r>
    </w:p>
    <w:p w14:paraId="2762FA05" w14:textId="554A4F90" w:rsidR="0045314A" w:rsidRPr="009227AE" w:rsidRDefault="0045314A" w:rsidP="00FB3950">
      <w:pPr>
        <w:spacing w:after="0" w:line="240" w:lineRule="auto"/>
        <w:jc w:val="center"/>
        <w:rPr>
          <w:rFonts w:ascii="Times New Roman" w:hAnsi="Times New Roman" w:cs="Times New Roman"/>
          <w:b/>
          <w:sz w:val="28"/>
          <w:szCs w:val="28"/>
        </w:rPr>
      </w:pPr>
      <w:r w:rsidRPr="009227AE">
        <w:rPr>
          <w:rFonts w:ascii="Times New Roman" w:hAnsi="Times New Roman" w:cs="Times New Roman"/>
          <w:b/>
          <w:sz w:val="28"/>
          <w:szCs w:val="28"/>
        </w:rPr>
        <w:t>quản lý sau cai nghiện ma túy, quản lý người sử dụng trái phép chất ma túy</w:t>
      </w:r>
      <w:r w:rsidR="00F7330C">
        <w:rPr>
          <w:rFonts w:ascii="Times New Roman" w:hAnsi="Times New Roman" w:cs="Times New Roman"/>
          <w:b/>
          <w:sz w:val="28"/>
          <w:szCs w:val="28"/>
        </w:rPr>
        <w:t>;</w:t>
      </w:r>
    </w:p>
    <w:p w14:paraId="1B1E67B0" w14:textId="5470C2B4" w:rsidR="0045314A" w:rsidRPr="00F7330C" w:rsidRDefault="00F7330C" w:rsidP="00FB3950">
      <w:pPr>
        <w:spacing w:after="0" w:line="240" w:lineRule="auto"/>
        <w:jc w:val="center"/>
        <w:rPr>
          <w:rFonts w:ascii="Times New Roman" w:hAnsi="Times New Roman" w:cs="Times New Roman"/>
          <w:b/>
          <w:sz w:val="28"/>
          <w:szCs w:val="28"/>
        </w:rPr>
      </w:pPr>
      <w:r w:rsidRPr="00F7330C">
        <w:rPr>
          <w:rFonts w:ascii="Times New Roman" w:hAnsi="Times New Roman" w:cs="Times New Roman"/>
          <w:b/>
          <w:sz w:val="28"/>
          <w:szCs w:val="28"/>
        </w:rPr>
        <w:t xml:space="preserve"> chính sách hỗ trợ đối với người lao động làm việc tại các cơ sở cai nghiện ma túy công lập do Công an Thành phố Hồ Chí Minh quản lý và các cơ sở cai nghiện ma túy của Công an tỉnh Đồng Nai, </w:t>
      </w:r>
      <w:r w:rsidR="00FB3A93">
        <w:rPr>
          <w:rFonts w:ascii="Times New Roman" w:hAnsi="Times New Roman" w:cs="Times New Roman"/>
          <w:b/>
          <w:sz w:val="28"/>
          <w:szCs w:val="28"/>
        </w:rPr>
        <w:t xml:space="preserve">Công an </w:t>
      </w:r>
      <w:r w:rsidRPr="00F7330C">
        <w:rPr>
          <w:rFonts w:ascii="Times New Roman" w:hAnsi="Times New Roman" w:cs="Times New Roman"/>
          <w:b/>
          <w:sz w:val="28"/>
          <w:szCs w:val="28"/>
        </w:rPr>
        <w:t>tỉnh Lâm Đồng được Bộ Công an quy định tiếp nhận người cai nghiện từ Thành phố Hồ Chí Minh</w:t>
      </w:r>
    </w:p>
    <w:p w14:paraId="787C848E" w14:textId="77777777" w:rsidR="0045314A" w:rsidRPr="009227AE" w:rsidRDefault="0045314A" w:rsidP="00FB3950">
      <w:pPr>
        <w:spacing w:after="120" w:line="240" w:lineRule="auto"/>
        <w:jc w:val="center"/>
        <w:rPr>
          <w:rFonts w:ascii="Times New Roman" w:hAnsi="Times New Roman" w:cs="Times New Roman"/>
          <w:sz w:val="28"/>
          <w:szCs w:val="28"/>
        </w:rPr>
      </w:pPr>
    </w:p>
    <w:p w14:paraId="5BF62F93" w14:textId="3C15BFFE"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 xml:space="preserve">Căn cứ Luật Tổ chức chính quyền địa phương số 72/2025/QH15; </w:t>
      </w:r>
    </w:p>
    <w:p w14:paraId="0E8BFB23" w14:textId="297356EE" w:rsidR="0045314A" w:rsidRPr="001A6333" w:rsidRDefault="0045314A" w:rsidP="00FB3950">
      <w:pPr>
        <w:spacing w:before="120" w:after="120" w:line="240" w:lineRule="auto"/>
        <w:ind w:firstLine="720"/>
        <w:jc w:val="both"/>
        <w:rPr>
          <w:rFonts w:ascii="Times New Roman" w:hAnsi="Times New Roman" w:cs="Times New Roman"/>
          <w:i/>
          <w:iCs/>
          <w:spacing w:val="-8"/>
          <w:sz w:val="28"/>
          <w:szCs w:val="28"/>
        </w:rPr>
      </w:pPr>
      <w:r w:rsidRPr="001A6333">
        <w:rPr>
          <w:rFonts w:ascii="Times New Roman" w:hAnsi="Times New Roman" w:cs="Times New Roman"/>
          <w:i/>
          <w:iCs/>
          <w:spacing w:val="-8"/>
          <w:sz w:val="28"/>
          <w:szCs w:val="28"/>
        </w:rPr>
        <w:t>Căn cứ Luật Ban hành văn bản quy phạm pháp luật số 64/2025/QH15 được sửa đổi, bổ sung theo Luật số 87/2025/QH15;</w:t>
      </w:r>
    </w:p>
    <w:p w14:paraId="2B2E344D" w14:textId="48DAB244"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 xml:space="preserve">Căn cứ Luật Ngân sách nhà nước số 83/2015/QH13 được sửa đổi, bổ sung theo Luật số 56/2024/QH14; </w:t>
      </w:r>
    </w:p>
    <w:p w14:paraId="2699257F" w14:textId="08F5B153"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Căn cứ Luật Phòng, chống ma túy số 73/2021/QH14;</w:t>
      </w:r>
    </w:p>
    <w:p w14:paraId="5C404377" w14:textId="54A06FBA"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Căn cứ Nghị quyết số 202/2025/QH15 về sắp xếp đơn vị hành chính cấp tỉnh;</w:t>
      </w:r>
    </w:p>
    <w:p w14:paraId="444F0F52" w14:textId="30512E2D" w:rsidR="009656A2"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Căn cứ Nghị quyết số 227/2025/QH15 về Kỳ họp thứ 9, Quốc hội khóa XV;</w:t>
      </w:r>
    </w:p>
    <w:p w14:paraId="06E0CE00" w14:textId="4BE5BE6D" w:rsidR="009656A2" w:rsidRPr="001A6333" w:rsidRDefault="009656A2" w:rsidP="00FB3950">
      <w:pPr>
        <w:spacing w:before="120" w:after="120" w:line="240" w:lineRule="auto"/>
        <w:ind w:firstLine="720"/>
        <w:jc w:val="both"/>
        <w:rPr>
          <w:rFonts w:ascii="Times New Roman" w:hAnsi="Times New Roman" w:cs="Times New Roman"/>
          <w:i/>
          <w:iCs/>
          <w:sz w:val="28"/>
          <w:szCs w:val="28"/>
        </w:rPr>
      </w:pPr>
      <w:bookmarkStart w:id="0" w:name="loai_1"/>
      <w:r w:rsidRPr="001A6333">
        <w:rPr>
          <w:rFonts w:ascii="Times New Roman" w:hAnsi="Times New Roman" w:cs="Times New Roman"/>
          <w:i/>
          <w:iCs/>
          <w:sz w:val="28"/>
          <w:szCs w:val="28"/>
        </w:rPr>
        <w:t>Căn cứ Nghị định</w:t>
      </w:r>
      <w:bookmarkEnd w:id="0"/>
      <w:r w:rsidRPr="001A6333">
        <w:rPr>
          <w:rFonts w:ascii="Times New Roman" w:hAnsi="Times New Roman" w:cs="Times New Roman"/>
          <w:i/>
          <w:iCs/>
          <w:sz w:val="28"/>
          <w:szCs w:val="28"/>
        </w:rPr>
        <w:t xml:space="preserve"> số 163/2016/NĐ-CP </w:t>
      </w:r>
      <w:r w:rsidR="00FB3A93">
        <w:rPr>
          <w:rFonts w:ascii="Times New Roman" w:hAnsi="Times New Roman" w:cs="Times New Roman"/>
          <w:i/>
          <w:iCs/>
          <w:sz w:val="28"/>
          <w:szCs w:val="28"/>
        </w:rPr>
        <w:t xml:space="preserve">của Chính phủ </w:t>
      </w:r>
      <w:r w:rsidRPr="001A6333">
        <w:rPr>
          <w:rFonts w:ascii="Times New Roman" w:hAnsi="Times New Roman" w:cs="Times New Roman"/>
          <w:i/>
          <w:iCs/>
          <w:sz w:val="28"/>
          <w:szCs w:val="28"/>
        </w:rPr>
        <w:t xml:space="preserve">quy định chi tiết thi hành một số điều của </w:t>
      </w:r>
      <w:r w:rsidR="009C5CFA" w:rsidRPr="001A6333">
        <w:rPr>
          <w:rFonts w:ascii="Times New Roman" w:hAnsi="Times New Roman" w:cs="Times New Roman"/>
          <w:i/>
          <w:iCs/>
          <w:sz w:val="28"/>
          <w:szCs w:val="28"/>
        </w:rPr>
        <w:t xml:space="preserve">Luật </w:t>
      </w:r>
      <w:r w:rsidRPr="001A6333">
        <w:rPr>
          <w:rFonts w:ascii="Times New Roman" w:hAnsi="Times New Roman" w:cs="Times New Roman"/>
          <w:i/>
          <w:iCs/>
          <w:sz w:val="28"/>
          <w:szCs w:val="28"/>
        </w:rPr>
        <w:t>ngân sách nhà nước;</w:t>
      </w:r>
    </w:p>
    <w:p w14:paraId="612EA5CB" w14:textId="47C726C0" w:rsidR="0045314A" w:rsidRPr="001A6333" w:rsidRDefault="0045314A" w:rsidP="00FB3950">
      <w:pPr>
        <w:spacing w:before="120" w:after="120" w:line="240" w:lineRule="auto"/>
        <w:ind w:firstLine="720"/>
        <w:jc w:val="both"/>
        <w:rPr>
          <w:rFonts w:ascii="Times New Roman" w:hAnsi="Times New Roman" w:cs="Times New Roman"/>
          <w:i/>
          <w:iCs/>
          <w:spacing w:val="-6"/>
          <w:sz w:val="28"/>
          <w:szCs w:val="28"/>
        </w:rPr>
      </w:pPr>
      <w:r w:rsidRPr="001A6333">
        <w:rPr>
          <w:rFonts w:ascii="Times New Roman" w:hAnsi="Times New Roman" w:cs="Times New Roman"/>
          <w:i/>
          <w:iCs/>
          <w:spacing w:val="-6"/>
          <w:sz w:val="28"/>
          <w:szCs w:val="28"/>
        </w:rPr>
        <w:t>Căn cứ Nghị định số 105/2021/NĐ-CP của Chính phủ quy định chi tiết và hướng dẫn thi hành một số điều của Luật Phòng, chống ma túy;</w:t>
      </w:r>
    </w:p>
    <w:p w14:paraId="559B5082" w14:textId="29EB23B7"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 xml:space="preserve">Căn cứ Nghị định số 116/2021/NĐ-CP của Chính phủ quy định chi tiết một số điều của Luật Phòng, chống ma túy, Luật Xử lý vi phạm hành chính về cai nghiện ma túy và quản lý sau cai nghiện ma túy; </w:t>
      </w:r>
    </w:p>
    <w:p w14:paraId="571444D1" w14:textId="3CC5E199" w:rsidR="0045314A" w:rsidRDefault="0045314A" w:rsidP="00FB3950">
      <w:pPr>
        <w:spacing w:before="120" w:after="120" w:line="240" w:lineRule="auto"/>
        <w:ind w:firstLine="720"/>
        <w:jc w:val="both"/>
        <w:rPr>
          <w:rFonts w:ascii="Times New Roman" w:hAnsi="Times New Roman" w:cs="Times New Roman"/>
          <w:i/>
          <w:iCs/>
          <w:spacing w:val="-4"/>
          <w:sz w:val="28"/>
          <w:szCs w:val="28"/>
        </w:rPr>
      </w:pPr>
      <w:r w:rsidRPr="001A6333">
        <w:rPr>
          <w:rFonts w:ascii="Times New Roman" w:hAnsi="Times New Roman" w:cs="Times New Roman"/>
          <w:i/>
          <w:iCs/>
          <w:spacing w:val="-4"/>
          <w:sz w:val="28"/>
          <w:szCs w:val="28"/>
        </w:rPr>
        <w:t>Căn cứ Nghị định số 78/2025/NĐ-CP của Chính phủ quy định chi tiết một số điều và biện pháp để tổ chức thi hành Luật Ban hành văn bản quy phạm pháp luật được sửa đổi, bổ sung theo Nghị định 187/2025/NĐ-CP ngày 01 tháng 7 năm 2025;</w:t>
      </w:r>
    </w:p>
    <w:p w14:paraId="33521AD0" w14:textId="4A306CCE" w:rsidR="00FB3A93" w:rsidRPr="001A6333" w:rsidRDefault="00FB3A93" w:rsidP="00FB3950">
      <w:pPr>
        <w:spacing w:before="120" w:after="120" w:line="240" w:lineRule="auto"/>
        <w:ind w:firstLine="720"/>
        <w:jc w:val="both"/>
        <w:rPr>
          <w:rFonts w:ascii="Times New Roman" w:hAnsi="Times New Roman" w:cs="Times New Roman"/>
          <w:i/>
          <w:iCs/>
          <w:spacing w:val="-4"/>
          <w:sz w:val="28"/>
          <w:szCs w:val="28"/>
        </w:rPr>
      </w:pPr>
      <w:r w:rsidRPr="00FB3A93">
        <w:rPr>
          <w:rFonts w:ascii="Times New Roman" w:hAnsi="Times New Roman" w:cs="Times New Roman"/>
          <w:i/>
          <w:iCs/>
          <w:spacing w:val="-4"/>
          <w:sz w:val="28"/>
          <w:szCs w:val="28"/>
        </w:rPr>
        <w:t>Căn cứ 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14:paraId="3FA0E2B0" w14:textId="21E38CE5" w:rsidR="0045314A" w:rsidRPr="001A6333" w:rsidRDefault="0045314A" w:rsidP="00FB3950">
      <w:pPr>
        <w:spacing w:before="120" w:after="120" w:line="240" w:lineRule="auto"/>
        <w:ind w:firstLine="720"/>
        <w:jc w:val="both"/>
        <w:rPr>
          <w:rFonts w:ascii="Times New Roman" w:hAnsi="Times New Roman" w:cs="Times New Roman"/>
          <w:i/>
          <w:iCs/>
          <w:spacing w:val="-8"/>
          <w:sz w:val="28"/>
          <w:szCs w:val="28"/>
        </w:rPr>
      </w:pPr>
      <w:r w:rsidRPr="001A6333">
        <w:rPr>
          <w:rFonts w:ascii="Times New Roman" w:hAnsi="Times New Roman" w:cs="Times New Roman"/>
          <w:i/>
          <w:iCs/>
          <w:spacing w:val="-8"/>
          <w:sz w:val="28"/>
          <w:szCs w:val="28"/>
        </w:rPr>
        <w:t xml:space="preserve">Căn cứ Nghị định số 184/2025/NĐ-CP của Chính phủ </w:t>
      </w:r>
      <w:bookmarkStart w:id="1" w:name="loai_1_name"/>
      <w:r w:rsidRPr="001A6333">
        <w:rPr>
          <w:rFonts w:ascii="Times New Roman" w:hAnsi="Times New Roman" w:cs="Times New Roman"/>
          <w:i/>
          <w:iCs/>
          <w:spacing w:val="-8"/>
          <w:sz w:val="28"/>
          <w:szCs w:val="28"/>
        </w:rPr>
        <w:t>quy định phân định thẩm quyền khi tổ chức chính quyền địa phương 02 cấp và sửa đổi, bổ sung một số điều của các nghị định của Chính phủ trong lĩnh vực an ninh, trật tự</w:t>
      </w:r>
      <w:bookmarkEnd w:id="1"/>
      <w:r w:rsidRPr="001A6333">
        <w:rPr>
          <w:rFonts w:ascii="Times New Roman" w:hAnsi="Times New Roman" w:cs="Times New Roman"/>
          <w:i/>
          <w:iCs/>
          <w:spacing w:val="-8"/>
          <w:sz w:val="28"/>
          <w:szCs w:val="28"/>
        </w:rPr>
        <w:t>;</w:t>
      </w:r>
    </w:p>
    <w:p w14:paraId="1A254ED5" w14:textId="0E6C7451" w:rsidR="0045314A" w:rsidRPr="001A6333" w:rsidRDefault="0045314A" w:rsidP="00FB3950">
      <w:pPr>
        <w:spacing w:before="120" w:after="120" w:line="240" w:lineRule="auto"/>
        <w:ind w:firstLine="720"/>
        <w:jc w:val="both"/>
        <w:rPr>
          <w:rFonts w:ascii="Times New Roman" w:hAnsi="Times New Roman" w:cs="Times New Roman"/>
          <w:i/>
          <w:iCs/>
          <w:spacing w:val="-8"/>
          <w:sz w:val="28"/>
          <w:szCs w:val="28"/>
        </w:rPr>
      </w:pPr>
      <w:r w:rsidRPr="001A6333">
        <w:rPr>
          <w:rFonts w:ascii="Times New Roman" w:hAnsi="Times New Roman" w:cs="Times New Roman"/>
          <w:i/>
          <w:iCs/>
          <w:spacing w:val="-8"/>
          <w:sz w:val="28"/>
          <w:szCs w:val="28"/>
        </w:rPr>
        <w:lastRenderedPageBreak/>
        <w:t>Căn cứ Thông tư số</w:t>
      </w:r>
      <w:r w:rsidR="00BA5FD2" w:rsidRPr="001A6333">
        <w:rPr>
          <w:rFonts w:ascii="Times New Roman" w:hAnsi="Times New Roman" w:cs="Times New Roman"/>
          <w:i/>
          <w:iCs/>
          <w:spacing w:val="-8"/>
          <w:sz w:val="28"/>
          <w:szCs w:val="28"/>
        </w:rPr>
        <w:t xml:space="preserve"> 62/2022/TT-BTC </w:t>
      </w:r>
      <w:r w:rsidRPr="001A6333">
        <w:rPr>
          <w:rFonts w:ascii="Times New Roman" w:hAnsi="Times New Roman" w:cs="Times New Roman"/>
          <w:i/>
          <w:iCs/>
          <w:spacing w:val="-8"/>
          <w:sz w:val="28"/>
          <w:szCs w:val="28"/>
        </w:rPr>
        <w:t xml:space="preserve">của Bộ Tài chính quy định việc quản lý và sử dụng kinh phí sự nghiệp từ ngân sách nhà nước thực hiện chế độ áp dụng biện pháp đưa vào cơ sở cai nghiện bắt buộc; công tác cai nghiện ma túy tại gia đình, cộng đồng, cơ sở cai nghiện ma túy và quản lý sau cai nghiện ma túy; </w:t>
      </w:r>
    </w:p>
    <w:p w14:paraId="244E1381" w14:textId="6A5CF486"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 xml:space="preserve">Xét Tờ trình số </w:t>
      </w:r>
      <w:r w:rsidR="00A7576B">
        <w:rPr>
          <w:rFonts w:ascii="Times New Roman" w:hAnsi="Times New Roman" w:cs="Times New Roman"/>
          <w:i/>
          <w:iCs/>
          <w:sz w:val="28"/>
          <w:szCs w:val="28"/>
        </w:rPr>
        <w:t>763</w:t>
      </w:r>
      <w:r w:rsidRPr="001A6333">
        <w:rPr>
          <w:rFonts w:ascii="Times New Roman" w:hAnsi="Times New Roman" w:cs="Times New Roman"/>
          <w:i/>
          <w:iCs/>
          <w:sz w:val="28"/>
          <w:szCs w:val="28"/>
        </w:rPr>
        <w:t xml:space="preserve">/TTr-UBND ngày </w:t>
      </w:r>
      <w:r w:rsidR="00A7576B">
        <w:rPr>
          <w:rFonts w:ascii="Times New Roman" w:hAnsi="Times New Roman" w:cs="Times New Roman"/>
          <w:i/>
          <w:iCs/>
          <w:sz w:val="28"/>
          <w:szCs w:val="28"/>
        </w:rPr>
        <w:t>13</w:t>
      </w:r>
      <w:r w:rsidRPr="001A6333">
        <w:rPr>
          <w:rFonts w:ascii="Times New Roman" w:hAnsi="Times New Roman" w:cs="Times New Roman"/>
          <w:i/>
          <w:iCs/>
          <w:sz w:val="28"/>
          <w:szCs w:val="28"/>
        </w:rPr>
        <w:t xml:space="preserve"> tháng </w:t>
      </w:r>
      <w:r w:rsidR="00A7576B">
        <w:rPr>
          <w:rFonts w:ascii="Times New Roman" w:hAnsi="Times New Roman" w:cs="Times New Roman"/>
          <w:i/>
          <w:iCs/>
          <w:sz w:val="28"/>
          <w:szCs w:val="28"/>
        </w:rPr>
        <w:t>11</w:t>
      </w:r>
      <w:r w:rsidRPr="001A6333">
        <w:rPr>
          <w:rFonts w:ascii="Times New Roman" w:hAnsi="Times New Roman" w:cs="Times New Roman"/>
          <w:i/>
          <w:iCs/>
          <w:sz w:val="28"/>
          <w:szCs w:val="28"/>
        </w:rPr>
        <w:t xml:space="preserve"> năm 2025 của Ủy ban nhân dân Thành phố về Nghị quyết quy định chính sách hỗ trợ công tác cai nghiện ma túy, quản lý sau cai nghiện ma túy, quản lý người sử dụng trái phép chất ma túy của Thành phố Hồ Chí Minh; Báo cáo thẩm tra số </w:t>
      </w:r>
      <w:r w:rsidR="00A7576B">
        <w:rPr>
          <w:rFonts w:ascii="Times New Roman" w:hAnsi="Times New Roman" w:cs="Times New Roman"/>
          <w:i/>
          <w:iCs/>
          <w:sz w:val="28"/>
          <w:szCs w:val="28"/>
        </w:rPr>
        <w:t>761</w:t>
      </w:r>
      <w:r w:rsidRPr="001A6333">
        <w:rPr>
          <w:rFonts w:ascii="Times New Roman" w:hAnsi="Times New Roman" w:cs="Times New Roman"/>
          <w:i/>
          <w:iCs/>
          <w:sz w:val="28"/>
          <w:szCs w:val="28"/>
        </w:rPr>
        <w:t xml:space="preserve">/BC-BPC ngày </w:t>
      </w:r>
      <w:r w:rsidR="00A7576B">
        <w:rPr>
          <w:rFonts w:ascii="Times New Roman" w:hAnsi="Times New Roman" w:cs="Times New Roman"/>
          <w:i/>
          <w:iCs/>
          <w:sz w:val="28"/>
          <w:szCs w:val="28"/>
        </w:rPr>
        <w:t>13</w:t>
      </w:r>
      <w:r w:rsidRPr="001A6333">
        <w:rPr>
          <w:rFonts w:ascii="Times New Roman" w:hAnsi="Times New Roman" w:cs="Times New Roman"/>
          <w:i/>
          <w:iCs/>
          <w:sz w:val="28"/>
          <w:szCs w:val="28"/>
        </w:rPr>
        <w:t xml:space="preserve"> tháng </w:t>
      </w:r>
      <w:r w:rsidR="00A7576B">
        <w:rPr>
          <w:rFonts w:ascii="Times New Roman" w:hAnsi="Times New Roman" w:cs="Times New Roman"/>
          <w:i/>
          <w:iCs/>
          <w:sz w:val="28"/>
          <w:szCs w:val="28"/>
        </w:rPr>
        <w:t>11</w:t>
      </w:r>
      <w:r w:rsidRPr="001A6333">
        <w:rPr>
          <w:rFonts w:ascii="Times New Roman" w:hAnsi="Times New Roman" w:cs="Times New Roman"/>
          <w:i/>
          <w:iCs/>
          <w:sz w:val="28"/>
          <w:szCs w:val="28"/>
        </w:rPr>
        <w:t xml:space="preserve"> năm 2025 của Ban Pháp chế Hội đồng nhân dân Thành phố; ý kiến thảo luận của đại biểu Hội đồng nhân dân Thành phố tại kỳ họp;</w:t>
      </w:r>
    </w:p>
    <w:p w14:paraId="624EF256" w14:textId="54D53951" w:rsidR="0045314A" w:rsidRPr="001A6333" w:rsidRDefault="0045314A" w:rsidP="00FB3950">
      <w:pPr>
        <w:spacing w:before="120" w:after="120" w:line="240" w:lineRule="auto"/>
        <w:ind w:firstLine="720"/>
        <w:jc w:val="both"/>
        <w:rPr>
          <w:rFonts w:ascii="Times New Roman" w:hAnsi="Times New Roman" w:cs="Times New Roman"/>
          <w:i/>
          <w:iCs/>
          <w:sz w:val="28"/>
          <w:szCs w:val="28"/>
        </w:rPr>
      </w:pPr>
      <w:r w:rsidRPr="001A6333">
        <w:rPr>
          <w:rFonts w:ascii="Times New Roman" w:hAnsi="Times New Roman" w:cs="Times New Roman"/>
          <w:i/>
          <w:iCs/>
          <w:sz w:val="28"/>
          <w:szCs w:val="28"/>
        </w:rPr>
        <w:t>Hội đồng nhân dân</w:t>
      </w:r>
      <w:r w:rsidR="002F5A17">
        <w:rPr>
          <w:rFonts w:ascii="Times New Roman" w:hAnsi="Times New Roman" w:cs="Times New Roman"/>
          <w:i/>
          <w:iCs/>
          <w:sz w:val="28"/>
          <w:szCs w:val="28"/>
        </w:rPr>
        <w:t xml:space="preserve"> Thành phố</w:t>
      </w:r>
      <w:r w:rsidRPr="001A6333">
        <w:rPr>
          <w:rFonts w:ascii="Times New Roman" w:hAnsi="Times New Roman" w:cs="Times New Roman"/>
          <w:i/>
          <w:iCs/>
          <w:sz w:val="28"/>
          <w:szCs w:val="28"/>
        </w:rPr>
        <w:t xml:space="preserve"> ban hành Nghị quyết </w:t>
      </w:r>
      <w:r w:rsidR="00FB3A93">
        <w:rPr>
          <w:rFonts w:ascii="Times New Roman" w:hAnsi="Times New Roman" w:cs="Times New Roman"/>
          <w:i/>
          <w:iCs/>
          <w:sz w:val="28"/>
          <w:szCs w:val="28"/>
        </w:rPr>
        <w:t>q</w:t>
      </w:r>
      <w:r w:rsidRPr="001A6333">
        <w:rPr>
          <w:rFonts w:ascii="Times New Roman" w:hAnsi="Times New Roman" w:cs="Times New Roman"/>
          <w:i/>
          <w:iCs/>
          <w:sz w:val="28"/>
          <w:szCs w:val="28"/>
        </w:rPr>
        <w:t>uy định chính sách hỗ trợ công tác cai nghiện</w:t>
      </w:r>
      <w:r w:rsidR="00BA5FD2" w:rsidRPr="001A6333">
        <w:rPr>
          <w:rFonts w:ascii="Times New Roman" w:hAnsi="Times New Roman" w:cs="Times New Roman"/>
          <w:i/>
          <w:iCs/>
          <w:sz w:val="28"/>
          <w:szCs w:val="28"/>
        </w:rPr>
        <w:t xml:space="preserve"> ma túy</w:t>
      </w:r>
      <w:r w:rsidRPr="001A6333">
        <w:rPr>
          <w:rFonts w:ascii="Times New Roman" w:hAnsi="Times New Roman" w:cs="Times New Roman"/>
          <w:i/>
          <w:iCs/>
          <w:sz w:val="28"/>
          <w:szCs w:val="28"/>
        </w:rPr>
        <w:t>, quản lý sau cai nghiện ma túy, quản lý người sử dụng trái phép chất ma túy</w:t>
      </w:r>
      <w:r w:rsidR="00F7330C" w:rsidRPr="001A6333">
        <w:rPr>
          <w:rFonts w:ascii="Times New Roman" w:hAnsi="Times New Roman" w:cs="Times New Roman"/>
          <w:i/>
          <w:iCs/>
          <w:sz w:val="28"/>
          <w:szCs w:val="28"/>
        </w:rPr>
        <w:t xml:space="preserve">; </w:t>
      </w:r>
      <w:r w:rsidR="00F7330C" w:rsidRPr="001A6333">
        <w:rPr>
          <w:rFonts w:ascii="Times New Roman" w:hAnsi="Times New Roman" w:cs="Times New Roman"/>
          <w:i/>
          <w:sz w:val="28"/>
          <w:szCs w:val="28"/>
        </w:rPr>
        <w:t xml:space="preserve">chính sách hỗ trợ đối với người lao động làm việc tại các cơ sở cai nghiện ma túy công lập do Công an Thành phố Hồ Chí Minh quản lý và các cơ sở cai nghiện ma túy của Công an tỉnh Đồng Nai, </w:t>
      </w:r>
      <w:r w:rsidR="00FB3A93">
        <w:rPr>
          <w:rFonts w:ascii="Times New Roman" w:hAnsi="Times New Roman" w:cs="Times New Roman"/>
          <w:i/>
          <w:sz w:val="28"/>
          <w:szCs w:val="28"/>
        </w:rPr>
        <w:t xml:space="preserve">Công an </w:t>
      </w:r>
      <w:r w:rsidR="00F7330C" w:rsidRPr="001A6333">
        <w:rPr>
          <w:rFonts w:ascii="Times New Roman" w:hAnsi="Times New Roman" w:cs="Times New Roman"/>
          <w:i/>
          <w:sz w:val="28"/>
          <w:szCs w:val="28"/>
        </w:rPr>
        <w:t>tỉnh Lâm Đồng được Bộ Công an quy định tiếp nhận người cai nghiện từ Thành phố Hồ Chí Minh</w:t>
      </w:r>
      <w:r w:rsidRPr="001A6333">
        <w:rPr>
          <w:rFonts w:ascii="Times New Roman" w:hAnsi="Times New Roman" w:cs="Times New Roman"/>
          <w:i/>
          <w:iCs/>
          <w:sz w:val="28"/>
          <w:szCs w:val="28"/>
        </w:rPr>
        <w:t>.</w:t>
      </w:r>
    </w:p>
    <w:p w14:paraId="09B3A91C" w14:textId="123D532E" w:rsidR="0045314A" w:rsidRPr="001A6333" w:rsidRDefault="0045314A" w:rsidP="00FB3950">
      <w:pPr>
        <w:pStyle w:val="Heading3"/>
        <w:keepNext w:val="0"/>
        <w:keepLines w:val="0"/>
        <w:spacing w:before="120" w:after="120" w:line="240" w:lineRule="auto"/>
        <w:ind w:firstLine="720"/>
        <w:jc w:val="both"/>
        <w:rPr>
          <w:rFonts w:ascii="Times New Roman" w:hAnsi="Times New Roman" w:cs="Times New Roman"/>
          <w:color w:val="auto"/>
          <w:sz w:val="28"/>
          <w:szCs w:val="28"/>
        </w:rPr>
      </w:pPr>
      <w:r w:rsidRPr="001A6333">
        <w:rPr>
          <w:rFonts w:ascii="Times New Roman" w:hAnsi="Times New Roman" w:cs="Times New Roman"/>
          <w:color w:val="auto"/>
          <w:sz w:val="28"/>
          <w:szCs w:val="28"/>
        </w:rPr>
        <w:t>Điều 1. Phạm vi điều chỉnh</w:t>
      </w:r>
    </w:p>
    <w:p w14:paraId="3402975F" w14:textId="1092358A" w:rsidR="00A46AA0" w:rsidRPr="001A6333" w:rsidRDefault="00A46AA0"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sz w:val="28"/>
          <w:szCs w:val="28"/>
        </w:rPr>
      </w:pPr>
      <w:r w:rsidRPr="001A6333">
        <w:rPr>
          <w:rFonts w:ascii="Times New Roman" w:hAnsi="Times New Roman" w:cs="Times New Roman"/>
          <w:sz w:val="28"/>
          <w:szCs w:val="28"/>
        </w:rPr>
        <w:t>Nghị quyết này quy định nội dung chi, mức chi hỗ trợ đối với công tác cai nghiện ma túy, quản lý sau cai nghiện ma túy, quản lý người sử dụng trái phép chấ</w:t>
      </w:r>
      <w:r w:rsidR="00F7330C" w:rsidRPr="001A6333">
        <w:rPr>
          <w:rFonts w:ascii="Times New Roman" w:hAnsi="Times New Roman" w:cs="Times New Roman"/>
          <w:sz w:val="28"/>
          <w:szCs w:val="28"/>
        </w:rPr>
        <w:t xml:space="preserve">t </w:t>
      </w:r>
      <w:r w:rsidR="00F7330C" w:rsidRPr="00FB3950">
        <w:rPr>
          <w:rFonts w:ascii="Times New Roman" w:hAnsi="Times New Roman" w:cs="Times New Roman"/>
          <w:sz w:val="28"/>
          <w:szCs w:val="28"/>
        </w:rPr>
        <w:t>ma túy;</w:t>
      </w:r>
      <w:r w:rsidRPr="00FB3950">
        <w:rPr>
          <w:rFonts w:ascii="Times New Roman" w:hAnsi="Times New Roman" w:cs="Times New Roman"/>
          <w:sz w:val="28"/>
          <w:szCs w:val="28"/>
        </w:rPr>
        <w:t xml:space="preserve"> chính sách</w:t>
      </w:r>
      <w:r w:rsidRPr="001A6333">
        <w:rPr>
          <w:rFonts w:ascii="Times New Roman" w:hAnsi="Times New Roman" w:cs="Times New Roman"/>
          <w:sz w:val="28"/>
          <w:szCs w:val="28"/>
        </w:rPr>
        <w:t xml:space="preserve"> hỗ trợ đối với người lao động làm việc tại các cơ sở cai nghiện ma túy công lập do Công an Thành phố Hồ Chí Minh quản lý và các cơ sở cai nghiện ma túy </w:t>
      </w:r>
      <w:r w:rsidR="00D82663" w:rsidRPr="001A6333">
        <w:rPr>
          <w:rFonts w:ascii="Times New Roman" w:hAnsi="Times New Roman" w:cs="Times New Roman"/>
          <w:sz w:val="28"/>
          <w:szCs w:val="28"/>
        </w:rPr>
        <w:t xml:space="preserve">của Công an tỉnh Đồng Nai, </w:t>
      </w:r>
      <w:r w:rsidR="00FB3A93">
        <w:rPr>
          <w:rFonts w:ascii="Times New Roman" w:hAnsi="Times New Roman" w:cs="Times New Roman"/>
          <w:sz w:val="28"/>
          <w:szCs w:val="28"/>
        </w:rPr>
        <w:t xml:space="preserve">Công an </w:t>
      </w:r>
      <w:r w:rsidR="00D82663" w:rsidRPr="001A6333">
        <w:rPr>
          <w:rFonts w:ascii="Times New Roman" w:hAnsi="Times New Roman" w:cs="Times New Roman"/>
          <w:sz w:val="28"/>
          <w:szCs w:val="28"/>
        </w:rPr>
        <w:t xml:space="preserve">tỉnh Lâm Đồng </w:t>
      </w:r>
      <w:r w:rsidRPr="001A6333">
        <w:rPr>
          <w:rFonts w:ascii="Times New Roman" w:hAnsi="Times New Roman" w:cs="Times New Roman"/>
          <w:sz w:val="28"/>
          <w:szCs w:val="28"/>
        </w:rPr>
        <w:t>được Bộ Công an quy định tiếp nhận người cai nghiện từ Thành phố Hồ Chí Minh.</w:t>
      </w:r>
    </w:p>
    <w:p w14:paraId="1658FC4F" w14:textId="58F116C0" w:rsidR="00A46AA0"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sz w:val="28"/>
          <w:szCs w:val="28"/>
        </w:rPr>
      </w:pPr>
      <w:r w:rsidRPr="001A6333">
        <w:rPr>
          <w:rFonts w:ascii="Times New Roman" w:hAnsi="Times New Roman" w:cs="Times New Roman"/>
          <w:b/>
          <w:sz w:val="28"/>
          <w:szCs w:val="28"/>
        </w:rPr>
        <w:t>Điều 2. Đối tượng áp dụng</w:t>
      </w:r>
    </w:p>
    <w:p w14:paraId="51C53FAE" w14:textId="513C15AE" w:rsidR="00A46AA0" w:rsidRPr="001A6333" w:rsidRDefault="00A46AA0"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Style w:val="citation-114"/>
          <w:rFonts w:ascii="Times New Roman" w:hAnsi="Times New Roman" w:cs="Times New Roman"/>
          <w:sz w:val="28"/>
          <w:szCs w:val="28"/>
        </w:rPr>
        <w:t>1. Người cai nghiện ma túy bắt buộc; người cai nghiện ma túy tự nguyện tại cơ sở cai nghiện ma túy công lập, tại gia đình, cộng đồng</w:t>
      </w:r>
      <w:r w:rsidRPr="001A6333">
        <w:rPr>
          <w:rFonts w:ascii="Times New Roman" w:hAnsi="Times New Roman" w:cs="Times New Roman"/>
          <w:sz w:val="28"/>
          <w:szCs w:val="28"/>
        </w:rPr>
        <w:t xml:space="preserve">; </w:t>
      </w:r>
      <w:r w:rsidRPr="001A6333">
        <w:rPr>
          <w:rStyle w:val="citation-113"/>
          <w:rFonts w:ascii="Times New Roman" w:hAnsi="Times New Roman" w:cs="Times New Roman"/>
          <w:sz w:val="28"/>
          <w:szCs w:val="28"/>
        </w:rPr>
        <w:t>người nghiện ma túy trong thời gian chờ lập hồ sơ đề nghị áp dụng biện pháp đưa vào cơ sở cai nghiện bắt buộc</w:t>
      </w:r>
      <w:r w:rsidRPr="001A6333">
        <w:rPr>
          <w:rFonts w:ascii="Times New Roman" w:hAnsi="Times New Roman" w:cs="Times New Roman"/>
          <w:sz w:val="28"/>
          <w:szCs w:val="28"/>
        </w:rPr>
        <w:t xml:space="preserve">; </w:t>
      </w:r>
      <w:r w:rsidR="00F7330C" w:rsidRPr="001A6333">
        <w:rPr>
          <w:rStyle w:val="citation-112"/>
          <w:rFonts w:ascii="Times New Roman" w:hAnsi="Times New Roman" w:cs="Times New Roman"/>
          <w:sz w:val="28"/>
          <w:szCs w:val="28"/>
        </w:rPr>
        <w:t>n</w:t>
      </w:r>
      <w:r w:rsidRPr="001A6333">
        <w:rPr>
          <w:rStyle w:val="citation-112"/>
          <w:rFonts w:ascii="Times New Roman" w:hAnsi="Times New Roman" w:cs="Times New Roman"/>
          <w:sz w:val="28"/>
          <w:szCs w:val="28"/>
        </w:rPr>
        <w:t>gười sử dụng trái phép chất ma túy đang bị tạm giữ theo thủ tục hành chính để xác định tình trạng nghiện ma túy tại các cơ sở cai nghiện ma túy công lập và cơ sở y tế công lập đủ điều kiện</w:t>
      </w:r>
      <w:r w:rsidR="00F7330C" w:rsidRPr="001A6333">
        <w:rPr>
          <w:rStyle w:val="citation-112"/>
          <w:rFonts w:ascii="Times New Roman" w:hAnsi="Times New Roman" w:cs="Times New Roman"/>
          <w:sz w:val="28"/>
          <w:szCs w:val="28"/>
        </w:rPr>
        <w:t xml:space="preserve"> xác định tình trạng nghiện</w:t>
      </w:r>
      <w:r w:rsidRPr="001A6333">
        <w:rPr>
          <w:rFonts w:ascii="Times New Roman" w:hAnsi="Times New Roman" w:cs="Times New Roman"/>
          <w:sz w:val="28"/>
          <w:szCs w:val="28"/>
        </w:rPr>
        <w:t xml:space="preserve">; </w:t>
      </w:r>
      <w:r w:rsidR="00256775" w:rsidRPr="001A6333">
        <w:rPr>
          <w:rStyle w:val="citation-111"/>
          <w:rFonts w:ascii="Times New Roman" w:hAnsi="Times New Roman" w:cs="Times New Roman"/>
          <w:sz w:val="28"/>
          <w:szCs w:val="28"/>
        </w:rPr>
        <w:t xml:space="preserve">người </w:t>
      </w:r>
      <w:r w:rsidRPr="001A6333">
        <w:rPr>
          <w:rStyle w:val="citation-111"/>
          <w:rFonts w:ascii="Times New Roman" w:hAnsi="Times New Roman" w:cs="Times New Roman"/>
          <w:sz w:val="28"/>
          <w:szCs w:val="28"/>
        </w:rPr>
        <w:t>sử dụng trái phép chất ma túy và người bị quản lý sau cai nghiện ma túy tại cộng đồng</w:t>
      </w:r>
      <w:r w:rsidRPr="001A6333">
        <w:rPr>
          <w:rFonts w:ascii="Times New Roman" w:hAnsi="Times New Roman" w:cs="Times New Roman"/>
          <w:sz w:val="28"/>
          <w:szCs w:val="28"/>
        </w:rPr>
        <w:t>.</w:t>
      </w:r>
    </w:p>
    <w:p w14:paraId="6DC09FAE" w14:textId="6553F604" w:rsidR="00A46AA0" w:rsidRPr="001A6333" w:rsidRDefault="00A46AA0"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Style w:val="citation-110"/>
          <w:rFonts w:ascii="Times New Roman" w:hAnsi="Times New Roman" w:cs="Times New Roman"/>
          <w:sz w:val="28"/>
          <w:szCs w:val="28"/>
        </w:rPr>
        <w:t>2. Người lao động làm việc tại các cơ sở cai nghiện ma túy công lập</w:t>
      </w:r>
      <w:r w:rsidRPr="001A6333">
        <w:rPr>
          <w:rFonts w:ascii="Times New Roman" w:hAnsi="Times New Roman" w:cs="Times New Roman"/>
          <w:sz w:val="28"/>
          <w:szCs w:val="28"/>
        </w:rPr>
        <w:t>;</w:t>
      </w:r>
      <w:r w:rsidRPr="001A6333">
        <w:rPr>
          <w:rStyle w:val="citation-109"/>
          <w:rFonts w:ascii="Times New Roman" w:hAnsi="Times New Roman" w:cs="Times New Roman"/>
          <w:sz w:val="28"/>
          <w:szCs w:val="28"/>
        </w:rPr>
        <w:t xml:space="preserve"> người được giao nhiệm vụ tư vấn tâm lý xã hội, quản lý, hỗ trợ đối với người cai nghiện tự nguyện tại gia đình, cộng đồ</w:t>
      </w:r>
      <w:r w:rsidR="00F7330C" w:rsidRPr="001A6333">
        <w:rPr>
          <w:rStyle w:val="citation-109"/>
          <w:rFonts w:ascii="Times New Roman" w:hAnsi="Times New Roman" w:cs="Times New Roman"/>
          <w:sz w:val="28"/>
          <w:szCs w:val="28"/>
        </w:rPr>
        <w:t>ng,</w:t>
      </w:r>
      <w:r w:rsidRPr="001A6333">
        <w:rPr>
          <w:rStyle w:val="citation-109"/>
          <w:rFonts w:ascii="Times New Roman" w:hAnsi="Times New Roman" w:cs="Times New Roman"/>
          <w:sz w:val="28"/>
          <w:szCs w:val="28"/>
        </w:rPr>
        <w:t xml:space="preserve"> người bị quản lý sau cai nghiệ</w:t>
      </w:r>
      <w:r w:rsidR="004B7D61" w:rsidRPr="001A6333">
        <w:rPr>
          <w:rStyle w:val="citation-109"/>
          <w:rFonts w:ascii="Times New Roman" w:hAnsi="Times New Roman" w:cs="Times New Roman"/>
          <w:sz w:val="28"/>
          <w:szCs w:val="28"/>
        </w:rPr>
        <w:t>n ma túy,</w:t>
      </w:r>
      <w:r w:rsidRPr="001A6333">
        <w:rPr>
          <w:rStyle w:val="citation-109"/>
          <w:rFonts w:ascii="Times New Roman" w:hAnsi="Times New Roman" w:cs="Times New Roman"/>
          <w:sz w:val="28"/>
          <w:szCs w:val="28"/>
        </w:rPr>
        <w:t xml:space="preserve"> người sử dụng trái phép chất ma túy tại cấp xã</w:t>
      </w:r>
      <w:r w:rsidRPr="001A6333">
        <w:rPr>
          <w:rFonts w:ascii="Times New Roman" w:hAnsi="Times New Roman" w:cs="Times New Roman"/>
          <w:sz w:val="28"/>
          <w:szCs w:val="28"/>
        </w:rPr>
        <w:t xml:space="preserve">; </w:t>
      </w:r>
      <w:r w:rsidR="00256775" w:rsidRPr="001A6333">
        <w:rPr>
          <w:rStyle w:val="citation-108"/>
          <w:rFonts w:ascii="Times New Roman" w:hAnsi="Times New Roman" w:cs="Times New Roman"/>
          <w:sz w:val="28"/>
          <w:szCs w:val="28"/>
        </w:rPr>
        <w:t xml:space="preserve">người </w:t>
      </w:r>
      <w:r w:rsidRPr="00FB3950">
        <w:rPr>
          <w:rStyle w:val="citation-108"/>
          <w:rFonts w:ascii="Times New Roman" w:hAnsi="Times New Roman" w:cs="Times New Roman"/>
          <w:sz w:val="28"/>
          <w:szCs w:val="28"/>
        </w:rPr>
        <w:t xml:space="preserve">không hưởng lương từ ngân sách nhà nước được phân công trực tiếp giúp đỡ người được giáo dục tại </w:t>
      </w:r>
      <w:r w:rsidR="004B7D61" w:rsidRPr="00FB3950">
        <w:rPr>
          <w:rStyle w:val="citation-108"/>
          <w:rFonts w:ascii="Times New Roman" w:hAnsi="Times New Roman" w:cs="Times New Roman"/>
          <w:sz w:val="28"/>
          <w:szCs w:val="28"/>
        </w:rPr>
        <w:t>cấp xã</w:t>
      </w:r>
      <w:r w:rsidRPr="00FB3950">
        <w:rPr>
          <w:rStyle w:val="citation-108"/>
          <w:rFonts w:ascii="Times New Roman" w:hAnsi="Times New Roman" w:cs="Times New Roman"/>
          <w:sz w:val="28"/>
          <w:szCs w:val="28"/>
        </w:rPr>
        <w:t xml:space="preserve"> theo quy định tại Nghị định số 120/2021/NĐ-CP</w:t>
      </w:r>
      <w:r w:rsidRPr="00FB3950">
        <w:rPr>
          <w:rFonts w:ascii="Times New Roman" w:hAnsi="Times New Roman" w:cs="Times New Roman"/>
          <w:sz w:val="28"/>
          <w:szCs w:val="28"/>
        </w:rPr>
        <w:t xml:space="preserve">; </w:t>
      </w:r>
      <w:r w:rsidR="00256775" w:rsidRPr="00FB3950">
        <w:rPr>
          <w:rStyle w:val="citation-107"/>
          <w:rFonts w:ascii="Times New Roman" w:hAnsi="Times New Roman" w:cs="Times New Roman"/>
          <w:sz w:val="28"/>
          <w:szCs w:val="28"/>
        </w:rPr>
        <w:t xml:space="preserve">thành </w:t>
      </w:r>
      <w:r w:rsidRPr="00FB3950">
        <w:rPr>
          <w:rStyle w:val="citation-107"/>
          <w:rFonts w:ascii="Times New Roman" w:hAnsi="Times New Roman" w:cs="Times New Roman"/>
          <w:sz w:val="28"/>
          <w:szCs w:val="28"/>
        </w:rPr>
        <w:t>viên tham gia các phiên họp xem xét, quyết định áp dụng biện pháp đưa vào cơ sở cai nghiện bắt buộc</w:t>
      </w:r>
      <w:r w:rsidRPr="00FB3950">
        <w:rPr>
          <w:rFonts w:ascii="Times New Roman" w:hAnsi="Times New Roman" w:cs="Times New Roman"/>
          <w:sz w:val="28"/>
          <w:szCs w:val="28"/>
        </w:rPr>
        <w:t>.</w:t>
      </w:r>
    </w:p>
    <w:p w14:paraId="50F22D29" w14:textId="1D6E55B9" w:rsidR="00A46AA0" w:rsidRPr="001A6333" w:rsidRDefault="00A46AA0"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 xml:space="preserve">3. </w:t>
      </w:r>
      <w:r w:rsidR="00D82663" w:rsidRPr="001A6333">
        <w:rPr>
          <w:rFonts w:ascii="Times New Roman" w:hAnsi="Times New Roman" w:cs="Times New Roman"/>
          <w:sz w:val="28"/>
          <w:szCs w:val="28"/>
        </w:rPr>
        <w:t>C</w:t>
      </w:r>
      <w:r w:rsidRPr="001A6333">
        <w:rPr>
          <w:rStyle w:val="citation-105"/>
          <w:rFonts w:ascii="Times New Roman" w:hAnsi="Times New Roman" w:cs="Times New Roman"/>
          <w:sz w:val="28"/>
          <w:szCs w:val="28"/>
        </w:rPr>
        <w:t>ác cơ sở y tế công lập đủ điều kiện xác định tình trạng nghiện của Thành phố Hồ Chí Minh</w:t>
      </w:r>
      <w:r w:rsidR="00D82663" w:rsidRPr="001A6333">
        <w:rPr>
          <w:rStyle w:val="citation-105"/>
          <w:rFonts w:ascii="Times New Roman" w:hAnsi="Times New Roman" w:cs="Times New Roman"/>
          <w:sz w:val="28"/>
          <w:szCs w:val="28"/>
        </w:rPr>
        <w:t>; c</w:t>
      </w:r>
      <w:r w:rsidR="00D82663" w:rsidRPr="001A6333">
        <w:rPr>
          <w:rStyle w:val="citation-106"/>
          <w:rFonts w:ascii="Times New Roman" w:hAnsi="Times New Roman" w:cs="Times New Roman"/>
          <w:sz w:val="28"/>
          <w:szCs w:val="28"/>
        </w:rPr>
        <w:t>ác cơ sở cai nghiện ma túy công lập</w:t>
      </w:r>
      <w:r w:rsidRPr="001A6333">
        <w:rPr>
          <w:rFonts w:ascii="Times New Roman" w:hAnsi="Times New Roman" w:cs="Times New Roman"/>
          <w:sz w:val="28"/>
          <w:szCs w:val="28"/>
        </w:rPr>
        <w:t>.</w:t>
      </w:r>
    </w:p>
    <w:p w14:paraId="6FEF237C" w14:textId="6C0F4B1D" w:rsidR="00A46AA0" w:rsidRPr="001A6333" w:rsidRDefault="00A46AA0"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lastRenderedPageBreak/>
        <w:t>4. Các cơ quan, tổ chức và cá nhân khác có liên quan đến việc thực hiện các chính sách quy định tại Nghị quyết này.</w:t>
      </w:r>
    </w:p>
    <w:p w14:paraId="1B3E6D49" w14:textId="55ACD643"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sz w:val="28"/>
          <w:szCs w:val="28"/>
        </w:rPr>
      </w:pPr>
      <w:r w:rsidRPr="001A6333">
        <w:rPr>
          <w:rFonts w:ascii="Times New Roman" w:hAnsi="Times New Roman" w:cs="Times New Roman"/>
          <w:b/>
          <w:sz w:val="28"/>
          <w:szCs w:val="28"/>
        </w:rPr>
        <w:t>Điều 3. Nguyên tắc hỗ trợ</w:t>
      </w:r>
    </w:p>
    <w:p w14:paraId="44F34DB4" w14:textId="77777777"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spacing w:val="-8"/>
          <w:sz w:val="28"/>
          <w:szCs w:val="28"/>
        </w:rPr>
      </w:pPr>
      <w:r w:rsidRPr="001A6333">
        <w:rPr>
          <w:rFonts w:ascii="Times New Roman" w:hAnsi="Times New Roman" w:cs="Times New Roman"/>
          <w:bCs/>
          <w:spacing w:val="-8"/>
          <w:sz w:val="28"/>
          <w:szCs w:val="28"/>
        </w:rPr>
        <w:t xml:space="preserve">1. </w:t>
      </w:r>
      <w:r w:rsidRPr="001A6333">
        <w:rPr>
          <w:rFonts w:ascii="Times New Roman" w:hAnsi="Times New Roman" w:cs="Times New Roman"/>
          <w:spacing w:val="-8"/>
          <w:sz w:val="28"/>
          <w:szCs w:val="28"/>
        </w:rPr>
        <w:t>Hỗ trợ đúng đối tượng, đúng mục đích, công khai, minh bạch, đảm bảo hiệu quả.</w:t>
      </w:r>
    </w:p>
    <w:p w14:paraId="57B3DFCA" w14:textId="77777777" w:rsidR="009656A2"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bCs/>
          <w:sz w:val="28"/>
          <w:szCs w:val="28"/>
        </w:rPr>
        <w:t xml:space="preserve">2. </w:t>
      </w:r>
      <w:r w:rsidRPr="001A6333">
        <w:rPr>
          <w:rFonts w:ascii="Times New Roman" w:hAnsi="Times New Roman" w:cs="Times New Roman"/>
          <w:sz w:val="28"/>
          <w:szCs w:val="28"/>
        </w:rPr>
        <w:t>Trường hợp một đối tượng tại cùng một thời điểm đủ điều kiện hưởng nhiều chính sách hỗ trợ có cùng tính chất quy định tại Nghị quyết này và các văn bản quy phạm pháp luật khác thì chỉ được hưởng một mức hỗ trợ cao nhất.</w:t>
      </w:r>
    </w:p>
    <w:p w14:paraId="18F0EBEE" w14:textId="0AD7F764"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bCs/>
          <w:sz w:val="28"/>
          <w:szCs w:val="28"/>
        </w:rPr>
      </w:pPr>
      <w:r w:rsidRPr="001A6333">
        <w:rPr>
          <w:rFonts w:ascii="Times New Roman" w:hAnsi="Times New Roman" w:cs="Times New Roman"/>
          <w:b/>
          <w:bCs/>
          <w:sz w:val="28"/>
          <w:szCs w:val="28"/>
        </w:rPr>
        <w:t xml:space="preserve">Điều 4. </w:t>
      </w:r>
      <w:r w:rsidR="0017145B" w:rsidRPr="001A6333">
        <w:rPr>
          <w:rFonts w:ascii="Times New Roman" w:hAnsi="Times New Roman" w:cs="Times New Roman"/>
          <w:b/>
          <w:bCs/>
          <w:sz w:val="28"/>
          <w:szCs w:val="28"/>
        </w:rPr>
        <w:t>Mức</w:t>
      </w:r>
      <w:r w:rsidRPr="001A6333">
        <w:rPr>
          <w:rFonts w:ascii="Times New Roman" w:hAnsi="Times New Roman" w:cs="Times New Roman"/>
          <w:b/>
          <w:bCs/>
          <w:sz w:val="28"/>
          <w:szCs w:val="28"/>
        </w:rPr>
        <w:t xml:space="preserve"> hỗ trợ đối với người cai nghiện ma túy bắt buộc; người sử dụng trái phép chất ma túy bị tạm giữ theo thủ tục hành chính để xác định tình trạng nghiện ma túy tại các cơ sở cai nghiện ma túy công lập; người nghiện ma túy trong thời gian chờ lập hồ sơ đề nghị áp dụng biện pháp đưa vào cơ sở cai nghiện bắt buộc; người được giao nhiệm vụ tư vấn tâm lý, xã hội, quản lý, hỗ trợ người cai nghiện tự nguyện tại gia đình, cộng đồng, người bị quản lý sau cai nghiện ma túy theo phân công của Chủ tịch Ủy ban nhân dân cấp xã</w:t>
      </w:r>
    </w:p>
    <w:p w14:paraId="4639BE71" w14:textId="788BB9FB" w:rsidR="00AE34BC" w:rsidRPr="00FB3950" w:rsidRDefault="004B7D61"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FB3950">
        <w:rPr>
          <w:rFonts w:ascii="Times New Roman" w:hAnsi="Times New Roman" w:cs="Times New Roman"/>
          <w:sz w:val="28"/>
          <w:szCs w:val="28"/>
        </w:rPr>
        <w:t xml:space="preserve">1. </w:t>
      </w:r>
      <w:r w:rsidR="0045314A" w:rsidRPr="00FB3950">
        <w:rPr>
          <w:rFonts w:ascii="Times New Roman" w:hAnsi="Times New Roman" w:cs="Times New Roman"/>
          <w:sz w:val="28"/>
          <w:szCs w:val="28"/>
        </w:rPr>
        <w:t xml:space="preserve">Thực hiện theo </w:t>
      </w:r>
      <w:r w:rsidR="00B5011F" w:rsidRPr="00FB3950">
        <w:rPr>
          <w:rFonts w:ascii="Times New Roman" w:hAnsi="Times New Roman" w:cs="Times New Roman"/>
          <w:sz w:val="28"/>
          <w:szCs w:val="28"/>
        </w:rPr>
        <w:t>Phụ lục ban hành kèm theo Nghị quyết này</w:t>
      </w:r>
      <w:r w:rsidR="00D82663" w:rsidRPr="00FB3950">
        <w:rPr>
          <w:rFonts w:ascii="Times New Roman" w:hAnsi="Times New Roman" w:cs="Times New Roman"/>
          <w:sz w:val="28"/>
          <w:szCs w:val="28"/>
        </w:rPr>
        <w:t>.</w:t>
      </w:r>
    </w:p>
    <w:p w14:paraId="236ABBE9" w14:textId="3BC6236A" w:rsidR="004B7D61" w:rsidRPr="001A6333" w:rsidRDefault="004B7D61"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FB3950">
        <w:rPr>
          <w:rFonts w:ascii="Times New Roman" w:hAnsi="Times New Roman" w:cs="Times New Roman"/>
          <w:color w:val="000000"/>
          <w:sz w:val="28"/>
          <w:szCs w:val="28"/>
        </w:rPr>
        <w:t>2. Các nội dung, mức chi không quy định tại Phụ lục theo khoản 1 Điều này thực hiện theo quy định của</w:t>
      </w:r>
      <w:r w:rsidRPr="00FB3950">
        <w:rPr>
          <w:rFonts w:ascii="Times New Roman" w:hAnsi="Times New Roman" w:cs="Times New Roman"/>
          <w:sz w:val="28"/>
          <w:szCs w:val="28"/>
        </w:rPr>
        <w:t xml:space="preserve"> Thông tư 62/2022/TT-BTC ngày 05 tháng 10 năm 2022 của Bộ Tài chính và Nghị định 116/2021/NĐ-CP ngày 21 tháng 12 năm 2021 của Chính phủ hoặc văn bản </w:t>
      </w:r>
      <w:r w:rsidR="00125DBB" w:rsidRPr="00FB3950">
        <w:rPr>
          <w:rFonts w:ascii="Times New Roman" w:hAnsi="Times New Roman" w:cs="Times New Roman"/>
          <w:sz w:val="28"/>
          <w:szCs w:val="28"/>
        </w:rPr>
        <w:t>sửa đổi, bổ sung</w:t>
      </w:r>
      <w:r w:rsidRPr="00FB3950">
        <w:rPr>
          <w:rFonts w:ascii="Times New Roman" w:hAnsi="Times New Roman" w:cs="Times New Roman"/>
          <w:sz w:val="28"/>
          <w:szCs w:val="28"/>
        </w:rPr>
        <w:t>, thay thế khác.</w:t>
      </w:r>
    </w:p>
    <w:p w14:paraId="1853E9FD" w14:textId="15284DB4"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i/>
          <w:iCs/>
          <w:sz w:val="28"/>
          <w:szCs w:val="28"/>
          <w:lang w:val="nb-NO"/>
        </w:rPr>
      </w:pPr>
      <w:r w:rsidRPr="001A6333">
        <w:rPr>
          <w:rFonts w:ascii="Times New Roman" w:hAnsi="Times New Roman" w:cs="Times New Roman"/>
          <w:b/>
          <w:bCs/>
          <w:sz w:val="28"/>
          <w:szCs w:val="28"/>
        </w:rPr>
        <w:t xml:space="preserve">Điều 5. </w:t>
      </w:r>
      <w:r w:rsidR="00D82663" w:rsidRPr="001A6333">
        <w:rPr>
          <w:rFonts w:ascii="Times New Roman" w:hAnsi="Times New Roman" w:cs="Times New Roman"/>
          <w:b/>
          <w:bCs/>
          <w:sz w:val="28"/>
          <w:szCs w:val="28"/>
        </w:rPr>
        <w:t>Chính sách hỗ trợ đối với người cai nghiện ma túy tự nguyện tại các cơ sở cai nghiện ma túy công lập</w:t>
      </w:r>
    </w:p>
    <w:p w14:paraId="57D5BF40" w14:textId="77777777"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pacing w:val="-4"/>
          <w:sz w:val="28"/>
          <w:szCs w:val="28"/>
        </w:rPr>
      </w:pPr>
      <w:r w:rsidRPr="001A6333">
        <w:rPr>
          <w:rFonts w:ascii="Times New Roman" w:hAnsi="Times New Roman" w:cs="Times New Roman"/>
          <w:bCs/>
          <w:spacing w:val="-4"/>
          <w:sz w:val="28"/>
          <w:szCs w:val="28"/>
        </w:rPr>
        <w:t>1. Người cai nghiện ma túy tự nguyện tại các cơ sở cai nghiện ma túy công lập</w:t>
      </w:r>
    </w:p>
    <w:p w14:paraId="3E16CFE5" w14:textId="4B854630"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a) Hỗ trợ chi phí khám sàng lọc, đánh giá mức độ nghiện, thực hiện các dịch vụ kỹ thuật xét nghiệm y tế theo chỉ định của bác sỹ và theo hướng dẫn chuyên môn của Bộ Y tế để quyết định chế độ cai nghiện ma túy: mức hỗ trợ 100%, thanh toán theo chi phí thực tế phát sinh và hóa đơn, chứng từ hợp pháp theo giá dịch vụ khám bệnh, chữa bệnh hiện hành do cơ quan có thẩm quyền quyết định đối với cơ sở khám bệnh, chữa bệnh công lập.</w:t>
      </w:r>
    </w:p>
    <w:p w14:paraId="0C324F46" w14:textId="555D1448" w:rsidR="0045314A" w:rsidRPr="00870BF0" w:rsidRDefault="0045314A" w:rsidP="006E21FB">
      <w:pPr>
        <w:pBdr>
          <w:bottom w:val="single" w:sz="4" w:space="22" w:color="FFFFFF"/>
        </w:pBdr>
        <w:shd w:val="clear" w:color="auto" w:fill="FFFFFF"/>
        <w:spacing w:before="120" w:after="120" w:line="240" w:lineRule="auto"/>
        <w:jc w:val="both"/>
        <w:rPr>
          <w:rFonts w:ascii="Times New Roman" w:hAnsi="Times New Roman" w:cs="Times New Roman"/>
          <w:bCs/>
          <w:sz w:val="28"/>
          <w:szCs w:val="28"/>
        </w:rPr>
      </w:pPr>
      <w:r w:rsidRPr="001A6333">
        <w:rPr>
          <w:rFonts w:ascii="Times New Roman" w:hAnsi="Times New Roman" w:cs="Times New Roman"/>
          <w:bCs/>
          <w:sz w:val="28"/>
          <w:szCs w:val="28"/>
        </w:rPr>
        <w:tab/>
      </w:r>
      <w:r w:rsidRPr="00870BF0">
        <w:rPr>
          <w:rFonts w:ascii="Times New Roman" w:hAnsi="Times New Roman" w:cs="Times New Roman"/>
          <w:bCs/>
          <w:sz w:val="28"/>
          <w:szCs w:val="28"/>
        </w:rPr>
        <w:t>b) Hỗ trợ chi phí thuốc chữa bệnh thông thường, phòng, chống lây nhiễm HIV/AIDS, các bệnh truyền nhiễm và phòng, chống dịch bệnh cho người cai nghiện bị ốm được điều trị tại các cơ sở cai nghiện: mức thi chi theo chi phí thực tế phát sinh và hóa đơn, chứng từ hợp pháp.</w:t>
      </w:r>
    </w:p>
    <w:p w14:paraId="0117E40F" w14:textId="3E66ED9B" w:rsidR="0045314A" w:rsidRPr="00870BF0"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870BF0">
        <w:rPr>
          <w:rFonts w:ascii="Times New Roman" w:hAnsi="Times New Roman" w:cs="Times New Roman"/>
          <w:bCs/>
          <w:sz w:val="28"/>
          <w:szCs w:val="28"/>
        </w:rPr>
        <w:t>c) Hỗ trợ tiền ăn</w:t>
      </w:r>
      <w:r w:rsidR="00B91B8B" w:rsidRPr="00870BF0">
        <w:rPr>
          <w:rFonts w:ascii="Times New Roman" w:hAnsi="Times New Roman" w:cs="Times New Roman"/>
          <w:bCs/>
          <w:sz w:val="28"/>
          <w:szCs w:val="28"/>
        </w:rPr>
        <w:t xml:space="preserve"> hằng tháng của người cai nghiện bằng 0,8 mức lương cơ sở hiện hành</w:t>
      </w:r>
      <w:r w:rsidRPr="00870BF0">
        <w:rPr>
          <w:rFonts w:ascii="Times New Roman" w:hAnsi="Times New Roman" w:cs="Times New Roman"/>
          <w:bCs/>
          <w:sz w:val="28"/>
          <w:szCs w:val="28"/>
        </w:rPr>
        <w:t>;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Trưởng cơ sở cai nghiện quyết định theo chỉ định của nhân viên y tế điều trị, nhưng không thấp hơn 03 lần tiêu chuẩn ngày thường.</w:t>
      </w:r>
    </w:p>
    <w:p w14:paraId="0C94CCB3" w14:textId="16C4C267" w:rsidR="0045314A" w:rsidRPr="00870BF0"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870BF0">
        <w:rPr>
          <w:rFonts w:ascii="Times New Roman" w:hAnsi="Times New Roman" w:cs="Times New Roman"/>
          <w:bCs/>
          <w:sz w:val="28"/>
          <w:szCs w:val="28"/>
        </w:rPr>
        <w:t xml:space="preserve">d) Hỗ trợ chi phí điều trị đối với người cai nghiện bị ốm nặng vượt quá khả năng điều trị của cơ sở cai nghiện được đưa đến bệnh viện điều trị: Trường hợp </w:t>
      </w:r>
      <w:r w:rsidRPr="00870BF0">
        <w:rPr>
          <w:rFonts w:ascii="Times New Roman" w:hAnsi="Times New Roman" w:cs="Times New Roman"/>
          <w:bCs/>
          <w:sz w:val="28"/>
          <w:szCs w:val="28"/>
        </w:rPr>
        <w:lastRenderedPageBreak/>
        <w:t xml:space="preserve">người cai nghiện có bảo hiểm y tế thì kinh phí khám, chữa bệnh cho người cai nghiện do bảo hiểm y tế chi trả theo quy định. Trường hợp người cai nghiện không có bảo hiểm y tế thì kinh phí khám, chữa bệnh cho người cai nghiện do ngân sách Nhà nước đảm bảo, thanh toán theo chi phí thực tế phát sinh và hóa đơn, chứng từ hợp pháp. </w:t>
      </w:r>
    </w:p>
    <w:p w14:paraId="437D99D0" w14:textId="1562B5C6"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đ) Hỗ trợ chi phí đưa, đón người cai nghiện trong trường hợp bị ốm nặng vượt quá khả năng điều trị của cơ sở cai nghiện được đưa đến bệnh viện điều trị: Hỗ trợ tiền tàu xe hoặc thuê phương tiện vận chuyển đưa, đón người cai nghiện, mức chi theo giá phương tiện công cộng phổ thông áp dụng tại địa phương.</w:t>
      </w:r>
    </w:p>
    <w:p w14:paraId="58851E5E" w14:textId="358D1AA8" w:rsidR="004B7D61" w:rsidRPr="005A01CB"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e) Hỗ trợ tiền chăn, màn, chiếu gối, quần áo, đồ dùng sinh hoạt cá nhân và băng vệ sinh đối với nữ: mức chi </w:t>
      </w:r>
      <w:r w:rsidRPr="005A01CB">
        <w:rPr>
          <w:rFonts w:ascii="Times New Roman" w:hAnsi="Times New Roman" w:cs="Times New Roman"/>
          <w:bCs/>
          <w:sz w:val="28"/>
          <w:szCs w:val="28"/>
        </w:rPr>
        <w:t xml:space="preserve">theo chi phí thực tế phát sinh và hóa đơn, chứng từ hợp pháp, nhưng tối đa không vượt </w:t>
      </w:r>
      <w:r w:rsidR="003A657C" w:rsidRPr="005A01CB">
        <w:rPr>
          <w:rFonts w:ascii="Times New Roman" w:hAnsi="Times New Roman" w:cs="Times New Roman"/>
          <w:bCs/>
          <w:sz w:val="28"/>
          <w:szCs w:val="28"/>
        </w:rPr>
        <w:t xml:space="preserve">0,9 </w:t>
      </w:r>
      <w:r w:rsidR="001519D6" w:rsidRPr="005A01CB">
        <w:rPr>
          <w:rFonts w:ascii="Times New Roman" w:hAnsi="Times New Roman" w:cs="Times New Roman"/>
          <w:bCs/>
          <w:sz w:val="28"/>
          <w:szCs w:val="28"/>
        </w:rPr>
        <w:t xml:space="preserve">lần </w:t>
      </w:r>
      <w:r w:rsidR="003A657C" w:rsidRPr="005A01CB">
        <w:rPr>
          <w:rFonts w:ascii="Times New Roman" w:hAnsi="Times New Roman" w:cs="Times New Roman"/>
          <w:bCs/>
          <w:sz w:val="28"/>
          <w:szCs w:val="28"/>
        </w:rPr>
        <w:t>mức lương cơ sở hiện hành</w:t>
      </w:r>
      <w:r w:rsidRPr="005A01CB">
        <w:rPr>
          <w:rFonts w:ascii="Times New Roman" w:hAnsi="Times New Roman" w:cs="Times New Roman"/>
          <w:bCs/>
          <w:sz w:val="28"/>
          <w:szCs w:val="28"/>
        </w:rPr>
        <w:t xml:space="preserve">/năm đối với người nghiện nam và </w:t>
      </w:r>
      <w:r w:rsidR="003A657C" w:rsidRPr="005A01CB">
        <w:rPr>
          <w:rFonts w:ascii="Times New Roman" w:hAnsi="Times New Roman" w:cs="Times New Roman"/>
          <w:bCs/>
          <w:sz w:val="28"/>
          <w:szCs w:val="28"/>
        </w:rPr>
        <w:t xml:space="preserve">1,4 </w:t>
      </w:r>
      <w:r w:rsidR="001519D6" w:rsidRPr="005A01CB">
        <w:rPr>
          <w:rFonts w:ascii="Times New Roman" w:hAnsi="Times New Roman" w:cs="Times New Roman"/>
          <w:bCs/>
          <w:sz w:val="28"/>
          <w:szCs w:val="28"/>
        </w:rPr>
        <w:t xml:space="preserve">lần </w:t>
      </w:r>
      <w:r w:rsidR="003A657C" w:rsidRPr="005A01CB">
        <w:rPr>
          <w:rFonts w:ascii="Times New Roman" w:hAnsi="Times New Roman" w:cs="Times New Roman"/>
          <w:bCs/>
          <w:sz w:val="28"/>
          <w:szCs w:val="28"/>
        </w:rPr>
        <w:t>mức lương lương cơ sở hiện hành/</w:t>
      </w:r>
      <w:r w:rsidRPr="005A01CB">
        <w:rPr>
          <w:rFonts w:ascii="Times New Roman" w:hAnsi="Times New Roman" w:cs="Times New Roman"/>
          <w:bCs/>
          <w:sz w:val="28"/>
          <w:szCs w:val="28"/>
        </w:rPr>
        <w:t>năm đối với người nghiện nữ.</w:t>
      </w:r>
    </w:p>
    <w:p w14:paraId="6182A1F4" w14:textId="5EF42D92"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5A01CB">
        <w:rPr>
          <w:rFonts w:ascii="Times New Roman" w:hAnsi="Times New Roman" w:cs="Times New Roman"/>
          <w:bCs/>
          <w:sz w:val="28"/>
          <w:szCs w:val="28"/>
        </w:rPr>
        <w:t>g) Hỗ trợ học văn hóa: mức chi theo</w:t>
      </w:r>
      <w:r w:rsidRPr="001A6333">
        <w:rPr>
          <w:rFonts w:ascii="Times New Roman" w:hAnsi="Times New Roman" w:cs="Times New Roman"/>
          <w:bCs/>
          <w:sz w:val="28"/>
          <w:szCs w:val="28"/>
        </w:rPr>
        <w:t xml:space="preserve"> chi phí thực tế phát sinh và hóa đơn, chứng từ hợp pháp; nội dung chi theo quy định tại khoản 4 Điều 5 Thông tư số 62/2022/TT-BTC của Bộ Tài chính.</w:t>
      </w:r>
    </w:p>
    <w:p w14:paraId="6B8BE6E1" w14:textId="1CEFEE53"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h) Hỗ trợ một lần học nghề đối với người cai nghiện chưa có nghề hoặc có nghề nhưng không phù hợp, có nhu cầu học nghề trình độ sơ cấp và dưới 03 tháng (không hỗ trợ đối với trường hợp cai nghiện tại cơ sở cai nghiện ma túy công lập từ lần thứ hai trở lên đã được học nghề); thanh toán theo chi phí thực tế phát sinh và hóa đơn, chứng từ hợp pháp.</w:t>
      </w:r>
    </w:p>
    <w:p w14:paraId="71252C63" w14:textId="3B96B906"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i) Hỗ trợ chi phí mai táng đối với trường hợp chết trong thời gian cai nghiện tại cơ sở mà không có thân nhân hoặc thân nhân không đến nhận trong vòng 24 giờ kể từ thời điểm đối tượng chết: mức hỗ trợ tối thiểu bằng 20 lần mức chuẩn trợ giúp xã hội theo Nghị định số 20/2021/NĐ-CP ngày 15 tháng 3 năm 2021 quy định về chính sách trợ giúp xã hội đối với đối tượng bảo trợ xã hội, thanh toán theo chi phí thực tế phát sinh và hóa đơn chứng từ hợp pháp.</w:t>
      </w:r>
    </w:p>
    <w:p w14:paraId="3A24CC79" w14:textId="2044F0FA"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k) Hỗ trợ chi phí khám sức khỏe định kỳ 06 tháng/lần: mức chi theo giá với cơ sở khám bệnh, chữa bệnh công lập, thanh toán theo chi phí thực tế phát sinh và hóa đơn chứng từ hợp pháp.</w:t>
      </w:r>
    </w:p>
    <w:p w14:paraId="30C51733" w14:textId="0FDD597A"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l) Hỗ trợ tiền điện, nước sinh hoạt: mức chi theo thực tế phát sinh và hóa đơn, chứng từ hợp pháp, nhưng tối đa không vượt mức 120.000 đồng/người/tháng.</w:t>
      </w:r>
    </w:p>
    <w:p w14:paraId="1417BFD2" w14:textId="0E499B7D"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m) Hỗ trợ chi phí tổ chức hoạt động văn hóa, văn nghệ, thể dục, thể thao, đọc sách, báo, xem truyền hình và các hoạt động vui chơi giải trí khác ngoài thời gian học tập và lao động: thanh toán theo chi phí thực tế phát sinh và hóa đơn chứng từ hợp pháp, không vượt mức 100.000 đồng/người/năm.</w:t>
      </w:r>
    </w:p>
    <w:p w14:paraId="6E2688EB" w14:textId="39BE48B4"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n) Hỗ trợ đưa người đi cai nghiện tự nguyện tại các cơ sở cai nghiện ma túy công lập và đưa người cai nghiện chấp hành xong thời gian cai nghiện trở về địa phương nơi cư trú: Mức hỗ trợ tiền ăn trong những ngày đi đường: 70.000 đồng/người/ngày, tối đa không quá 03 ngày.</w:t>
      </w:r>
    </w:p>
    <w:p w14:paraId="575F90F6" w14:textId="5A1D3E1B"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lastRenderedPageBreak/>
        <w:t xml:space="preserve">o) </w:t>
      </w:r>
      <w:r w:rsidR="0017145B" w:rsidRPr="001A6333">
        <w:rPr>
          <w:rFonts w:ascii="Times New Roman" w:hAnsi="Times New Roman" w:cs="Times New Roman"/>
          <w:bCs/>
          <w:sz w:val="28"/>
          <w:szCs w:val="28"/>
        </w:rPr>
        <w:t xml:space="preserve">Hỗ </w:t>
      </w:r>
      <w:r w:rsidRPr="001A6333">
        <w:rPr>
          <w:rFonts w:ascii="Times New Roman" w:hAnsi="Times New Roman" w:cs="Times New Roman"/>
          <w:bCs/>
          <w:sz w:val="28"/>
          <w:szCs w:val="28"/>
        </w:rPr>
        <w:t>trợ tiền tàu xe người cai nghiện chấp hành xong thời gian cai nghiện trở về địa phương nơi cư trú: theo giá phương tiện công cộng phổ thông.</w:t>
      </w:r>
    </w:p>
    <w:p w14:paraId="0849154C" w14:textId="53235351"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pacing w:val="-2"/>
          <w:sz w:val="28"/>
          <w:szCs w:val="28"/>
        </w:rPr>
      </w:pPr>
      <w:r w:rsidRPr="001A6333">
        <w:rPr>
          <w:rFonts w:ascii="Times New Roman" w:hAnsi="Times New Roman" w:cs="Times New Roman"/>
          <w:bCs/>
          <w:spacing w:val="-2"/>
          <w:sz w:val="28"/>
          <w:szCs w:val="28"/>
        </w:rPr>
        <w:t xml:space="preserve">p) Hỗ trợ quần, áo người cai nghiện chấp hành xong thời gian cai nghiện trở về địa phương nơi cư trú (nếu họ không có): 01 bộ, thanh toán theo chi phí thực tế phát sinh và hóa đơn, chứng từ hợp pháp, nhưng không vượt mức 300.000 đồng/người. </w:t>
      </w:r>
    </w:p>
    <w:p w14:paraId="76C2B59C" w14:textId="74DE18D8"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iCs/>
          <w:sz w:val="28"/>
          <w:szCs w:val="28"/>
        </w:rPr>
      </w:pPr>
      <w:r w:rsidRPr="001A6333">
        <w:rPr>
          <w:rFonts w:ascii="Times New Roman" w:hAnsi="Times New Roman" w:cs="Times New Roman"/>
          <w:bCs/>
          <w:sz w:val="28"/>
          <w:szCs w:val="28"/>
        </w:rPr>
        <w:t>q) Hỗ trợ chỗ ở: miễn phí tại cơ sở cai nghiện ma túy công lập.</w:t>
      </w:r>
    </w:p>
    <w:p w14:paraId="26BE19EF" w14:textId="3360AEC4" w:rsidR="0045314A"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pacing w:val="-4"/>
          <w:sz w:val="28"/>
          <w:szCs w:val="28"/>
        </w:rPr>
      </w:pPr>
      <w:r w:rsidRPr="001A6333">
        <w:rPr>
          <w:rFonts w:ascii="Times New Roman" w:hAnsi="Times New Roman" w:cs="Times New Roman"/>
          <w:bCs/>
          <w:spacing w:val="-4"/>
          <w:sz w:val="28"/>
          <w:szCs w:val="28"/>
        </w:rPr>
        <w:t>2</w:t>
      </w:r>
      <w:r w:rsidR="0045314A" w:rsidRPr="001A6333">
        <w:rPr>
          <w:rFonts w:ascii="Times New Roman" w:hAnsi="Times New Roman" w:cs="Times New Roman"/>
          <w:bCs/>
          <w:spacing w:val="-4"/>
          <w:sz w:val="28"/>
          <w:szCs w:val="28"/>
        </w:rPr>
        <w:t>. Người cai nghiện ma túy tự nguyện tại gia đình, tại cộng đồng có nhu cầu thực hiện cai nghiện tại cơ sở cai nghiện ma túy công lập của Thành phố Hồ Chí Minh</w:t>
      </w:r>
    </w:p>
    <w:p w14:paraId="6916FB32" w14:textId="77777777" w:rsidR="001A6333" w:rsidRDefault="0017145B"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color w:val="000000"/>
          <w:sz w:val="28"/>
          <w:szCs w:val="28"/>
          <w:shd w:val="clear" w:color="auto" w:fill="FFFFFF"/>
        </w:rPr>
        <w:t>H</w:t>
      </w:r>
      <w:r w:rsidR="0045314A" w:rsidRPr="001A6333">
        <w:rPr>
          <w:rFonts w:ascii="Times New Roman" w:hAnsi="Times New Roman" w:cs="Times New Roman"/>
          <w:bCs/>
          <w:color w:val="000000"/>
          <w:sz w:val="28"/>
          <w:szCs w:val="28"/>
          <w:shd w:val="clear" w:color="auto" w:fill="FFFFFF"/>
        </w:rPr>
        <w:t>ỗ trợ 01 (một) lần kinh phí cai nghiện đối với người cai nghiện ma túy tự nguyện tại gia đình, cộng đồng khi hoàn thành ít nhất 03 (ba) giai đoạn theo quy định tại Điều 22, Điều 23 và Điều 24 của Nghị định số 116/2021/NĐ-CP:</w:t>
      </w:r>
      <w:r w:rsidR="0045314A" w:rsidRPr="001A6333">
        <w:rPr>
          <w:rFonts w:ascii="Times New Roman" w:hAnsi="Times New Roman" w:cs="Times New Roman"/>
          <w:bCs/>
          <w:sz w:val="28"/>
          <w:szCs w:val="28"/>
        </w:rPr>
        <w:t xml:space="preserve"> thanh toán theo chi phí thực tế phát sinh và hóa đơn, chứng từ hợp pháp, </w:t>
      </w:r>
      <w:r w:rsidR="0045314A" w:rsidRPr="00F243EC">
        <w:rPr>
          <w:rFonts w:ascii="Times New Roman" w:hAnsi="Times New Roman" w:cs="Times New Roman"/>
          <w:bCs/>
          <w:sz w:val="28"/>
          <w:szCs w:val="28"/>
        </w:rPr>
        <w:t xml:space="preserve">nhưng không </w:t>
      </w:r>
      <w:r w:rsidR="001519D6" w:rsidRPr="00F243EC">
        <w:rPr>
          <w:rFonts w:ascii="Times New Roman" w:hAnsi="Times New Roman" w:cs="Times New Roman"/>
          <w:bCs/>
          <w:sz w:val="28"/>
          <w:szCs w:val="28"/>
        </w:rPr>
        <w:t>quá 3,5 lần mức lương cơ sở hiện hành</w:t>
      </w:r>
      <w:r w:rsidR="0045314A" w:rsidRPr="00F243EC">
        <w:rPr>
          <w:rFonts w:ascii="Times New Roman" w:hAnsi="Times New Roman" w:cs="Times New Roman"/>
          <w:bCs/>
          <w:i/>
          <w:sz w:val="28"/>
          <w:szCs w:val="28"/>
        </w:rPr>
        <w:t>.</w:t>
      </w:r>
    </w:p>
    <w:p w14:paraId="1ECC5351" w14:textId="60604A80"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bCs/>
          <w:spacing w:val="-8"/>
          <w:sz w:val="28"/>
          <w:szCs w:val="28"/>
        </w:rPr>
      </w:pPr>
      <w:r w:rsidRPr="001A6333">
        <w:rPr>
          <w:rFonts w:ascii="Times New Roman" w:hAnsi="Times New Roman" w:cs="Times New Roman"/>
          <w:b/>
          <w:bCs/>
          <w:spacing w:val="-8"/>
          <w:sz w:val="28"/>
          <w:szCs w:val="28"/>
        </w:rPr>
        <w:t>Điều 6. Chính sách hỗ trợ đối với người sử dụng trái phép chất ma túy đang bị tạm giữ theo thủ tục hành chính để xác định tình trạng nghiện ma túy tại các cơ sở y tế công lập đủ điều kiện xác định tình trạng nghiện; công tác quản lý người sử dụng trái phép chất ma túy</w:t>
      </w:r>
    </w:p>
    <w:p w14:paraId="1D1A8D36" w14:textId="540CAA93" w:rsidR="0045314A"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1</w:t>
      </w:r>
      <w:r w:rsidR="0045314A" w:rsidRPr="001A6333">
        <w:rPr>
          <w:rFonts w:ascii="Times New Roman" w:hAnsi="Times New Roman" w:cs="Times New Roman"/>
          <w:bCs/>
          <w:sz w:val="28"/>
          <w:szCs w:val="28"/>
        </w:rPr>
        <w:t>. Người sử dụng trái phép chất ma túy đang bị tạm giữ theo thủ tục hành chính để xác định tình trạng nghiện ma túy tại các cơ sở y tế công lập đủ điều kiện xác định tình trạng nghiện</w:t>
      </w:r>
    </w:p>
    <w:p w14:paraId="1EA81960" w14:textId="33F23C74"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a) Hỗ trợ tiền </w:t>
      </w:r>
      <w:r w:rsidRPr="00F243EC">
        <w:rPr>
          <w:rFonts w:ascii="Times New Roman" w:hAnsi="Times New Roman" w:cs="Times New Roman"/>
          <w:bCs/>
          <w:sz w:val="28"/>
          <w:szCs w:val="28"/>
        </w:rPr>
        <w:t xml:space="preserve">ăn </w:t>
      </w:r>
      <w:r w:rsidR="00B91B8B" w:rsidRPr="00F243EC">
        <w:rPr>
          <w:rFonts w:ascii="Times New Roman" w:hAnsi="Times New Roman" w:cs="Times New Roman"/>
          <w:bCs/>
          <w:sz w:val="28"/>
          <w:szCs w:val="28"/>
        </w:rPr>
        <w:t xml:space="preserve">hằng ngày là 0,027 </w:t>
      </w:r>
      <w:r w:rsidR="001519D6" w:rsidRPr="00F243EC">
        <w:rPr>
          <w:rFonts w:ascii="Times New Roman" w:hAnsi="Times New Roman" w:cs="Times New Roman"/>
          <w:bCs/>
          <w:sz w:val="28"/>
          <w:szCs w:val="28"/>
        </w:rPr>
        <w:t xml:space="preserve">lần </w:t>
      </w:r>
      <w:r w:rsidR="00B91B8B" w:rsidRPr="00F243EC">
        <w:rPr>
          <w:rFonts w:ascii="Times New Roman" w:hAnsi="Times New Roman" w:cs="Times New Roman"/>
          <w:bCs/>
          <w:sz w:val="28"/>
          <w:szCs w:val="28"/>
        </w:rPr>
        <w:t>mức lương cơ sở hiện hành</w:t>
      </w:r>
      <w:r w:rsidRPr="00F243EC">
        <w:rPr>
          <w:rFonts w:ascii="Times New Roman" w:hAnsi="Times New Roman" w:cs="Times New Roman"/>
          <w:bCs/>
          <w:sz w:val="28"/>
          <w:szCs w:val="28"/>
        </w:rPr>
        <w:t>.</w:t>
      </w:r>
      <w:r w:rsidRPr="001A6333">
        <w:rPr>
          <w:rFonts w:ascii="Times New Roman" w:hAnsi="Times New Roman" w:cs="Times New Roman"/>
          <w:bCs/>
          <w:sz w:val="28"/>
          <w:szCs w:val="28"/>
        </w:rPr>
        <w:t xml:space="preserve"> Mức hỗ trợ tiền ăn thêm trong Ngày Lễ, tết Dương lịch (nếu có) không quá 03 lần tiêu chuẩn ngày thường; mức hỗ trợ tiền ăn thêm các ngày tết Nguyên đán (nếu có) không quá 05 lần tiêu chuẩn ngày thường; chế độ ăn trong những ngày bị ốm theo chỉ định của nhân viên y tế điều trị, nhưng không thấp hơn 03 lần tiêu chuẩn ngày thường.</w:t>
      </w:r>
    </w:p>
    <w:p w14:paraId="31E239AA" w14:textId="3C6AE6B3"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b) Hỗ trợ tiền điện, nước sinh hoạt: mức chi theo thực tế phát sinh và hóa đơn, chứng từ hợp pháp, nhưng tối đa không vượt mức 100.000 đồng/người/tháng</w:t>
      </w:r>
      <w:r w:rsidR="009227AE" w:rsidRPr="001A6333">
        <w:rPr>
          <w:rFonts w:ascii="Times New Roman" w:hAnsi="Times New Roman" w:cs="Times New Roman"/>
          <w:bCs/>
          <w:sz w:val="28"/>
          <w:szCs w:val="28"/>
        </w:rPr>
        <w:t>.</w:t>
      </w:r>
      <w:r w:rsidRPr="001A6333">
        <w:rPr>
          <w:rFonts w:ascii="Times New Roman" w:hAnsi="Times New Roman" w:cs="Times New Roman"/>
          <w:bCs/>
          <w:sz w:val="28"/>
          <w:szCs w:val="28"/>
        </w:rPr>
        <w:t xml:space="preserve"> </w:t>
      </w:r>
    </w:p>
    <w:p w14:paraId="4ECAF4AA" w14:textId="3D0EA4F1"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c) Hỗ trợ tiền chăn, màn, chiếu gối, quần áo, đồ dùng sinh hoạt cá nhân và băng vệ sinh đối với nữ: mức chi theo chi phí thực tế phát sinh và hóa đơn, chứng từ hợp pháp, nhưng tối đa không vượt mức 700.000 đồng/người/lần.</w:t>
      </w:r>
    </w:p>
    <w:p w14:paraId="5B1909A7" w14:textId="1A526BA1"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d) Hỗ trợ tiền thuốc cắt cơn, giải độc, điều trị rối loạn tâm thần và điều trị các bệnh cơ hội khác (nếu có) theo hướng dẫn chuyên môn của Bộ Y tế: </w:t>
      </w:r>
      <w:r w:rsidR="00630136"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chi theo giá dịch vụ khám bệnh, chữa bệnh hiện hành do cơ quan có thẩm quyền quyết định đối với cơ sở khám bệnh, chữa bệnh công lập.</w:t>
      </w:r>
    </w:p>
    <w:p w14:paraId="6A943B16" w14:textId="78A0AA0B" w:rsidR="0045314A"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2</w:t>
      </w:r>
      <w:r w:rsidR="0045314A" w:rsidRPr="001A6333">
        <w:rPr>
          <w:rFonts w:ascii="Times New Roman" w:hAnsi="Times New Roman" w:cs="Times New Roman"/>
          <w:bCs/>
          <w:sz w:val="28"/>
          <w:szCs w:val="28"/>
        </w:rPr>
        <w:t>. Người được giao nhiệm vụ tư vấn tâm lý, xã hội, quản lý, hỗ trợ người sử dụng trái phép chất ma túy theo phân công của Chủ tịch Ủy ban nhân dân cấp xã</w:t>
      </w:r>
    </w:p>
    <w:p w14:paraId="53AB98A7" w14:textId="5B4D9692"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a) Hỗ trợ người không hưởng lương từ ngân sách được Chủ tịch Ủy ban nhân dân cấp xã giao nhiệm vụ tư vấn tâm lý, xã hội, quản lý, hỗ trợ người sử dụng trái phép chất ma túy: mức 1.080.000 đồng/người/tháng.</w:t>
      </w:r>
    </w:p>
    <w:p w14:paraId="790C1A74" w14:textId="16A677F2"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lastRenderedPageBreak/>
        <w:t>b) Hỗ trợ 500.000 đồng/người/tháng với định mức 01 người được phân công giúp đỡ không quá 3 người cùng một thời điểm đối với người không hưởng lương từ ngân sách nhà nước được phân công trực tiếp giúp đỡ người được giáo dục theo quy định tại Điều 29 Nghị định số 120/2021/NĐ-CP</w:t>
      </w:r>
      <w:r w:rsidR="009227AE" w:rsidRPr="001A6333">
        <w:rPr>
          <w:rFonts w:ascii="Times New Roman" w:hAnsi="Times New Roman" w:cs="Times New Roman"/>
          <w:bCs/>
          <w:sz w:val="28"/>
          <w:szCs w:val="28"/>
        </w:rPr>
        <w:t xml:space="preserve"> của Chính phủ.</w:t>
      </w:r>
    </w:p>
    <w:p w14:paraId="525E1463" w14:textId="50365DE9" w:rsidR="002E4F69" w:rsidRPr="00F243EC" w:rsidRDefault="006D5B39"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F243EC">
        <w:rPr>
          <w:rFonts w:ascii="Times New Roman" w:hAnsi="Times New Roman" w:cs="Times New Roman"/>
          <w:bCs/>
          <w:sz w:val="28"/>
          <w:szCs w:val="28"/>
        </w:rPr>
        <w:t>3</w:t>
      </w:r>
      <w:r w:rsidR="002E4F69" w:rsidRPr="00F243EC">
        <w:rPr>
          <w:rFonts w:ascii="Times New Roman" w:hAnsi="Times New Roman" w:cs="Times New Roman"/>
          <w:bCs/>
          <w:sz w:val="28"/>
          <w:szCs w:val="28"/>
        </w:rPr>
        <w:t>. Hỗ trợ các phiên họp xem xét, quyết định đưa vào cơ sở cai nghiện bắt buộc</w:t>
      </w:r>
    </w:p>
    <w:p w14:paraId="605FC189" w14:textId="6CF7A26A" w:rsidR="0045314A" w:rsidRPr="001A6333" w:rsidRDefault="002E4F69"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F243EC">
        <w:rPr>
          <w:rFonts w:ascii="Times New Roman" w:hAnsi="Times New Roman" w:cs="Times New Roman"/>
          <w:bCs/>
          <w:sz w:val="28"/>
          <w:szCs w:val="28"/>
        </w:rPr>
        <w:t>a</w:t>
      </w:r>
      <w:r w:rsidR="0045314A" w:rsidRPr="00F243EC">
        <w:rPr>
          <w:rFonts w:ascii="Times New Roman" w:hAnsi="Times New Roman" w:cs="Times New Roman"/>
          <w:bCs/>
          <w:sz w:val="28"/>
          <w:szCs w:val="28"/>
        </w:rPr>
        <w:t>) Thành viên tham gia phiên họp xem xét, quyết định áp dụng biện pháp xử</w:t>
      </w:r>
      <w:r w:rsidR="0045314A" w:rsidRPr="001A6333">
        <w:rPr>
          <w:rFonts w:ascii="Times New Roman" w:hAnsi="Times New Roman" w:cs="Times New Roman"/>
          <w:bCs/>
          <w:sz w:val="28"/>
          <w:szCs w:val="28"/>
        </w:rPr>
        <w:t xml:space="preserve"> lý hành chính đưa vào các cơ sở cai nghiện bắt buộc; phiên họp xem xét khi có khiếu nại, kiến nghị, kháng nghị về quyết định áp dụng biện pháp xử lý hành chính đưa vào các cơ sở cai nghiện bắt buộc đối với người từ đủ 18 tuổi trở lên: </w:t>
      </w:r>
      <w:r w:rsidR="0017145B" w:rsidRPr="001A6333">
        <w:rPr>
          <w:rFonts w:ascii="Times New Roman" w:hAnsi="Times New Roman" w:cs="Times New Roman"/>
          <w:bCs/>
          <w:sz w:val="28"/>
          <w:szCs w:val="28"/>
        </w:rPr>
        <w:t xml:space="preserve">hỗ trợ </w:t>
      </w:r>
      <w:r w:rsidR="0045314A" w:rsidRPr="001A6333">
        <w:rPr>
          <w:rFonts w:ascii="Times New Roman" w:hAnsi="Times New Roman" w:cs="Times New Roman"/>
          <w:bCs/>
          <w:sz w:val="28"/>
          <w:szCs w:val="28"/>
        </w:rPr>
        <w:t>100.000 đồng/thành viên/phiên họp.</w:t>
      </w:r>
    </w:p>
    <w:p w14:paraId="5490861A" w14:textId="04FAB17F" w:rsidR="0045314A" w:rsidRDefault="002E4F69"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b</w:t>
      </w:r>
      <w:r w:rsidR="0045314A" w:rsidRPr="001A6333">
        <w:rPr>
          <w:rFonts w:ascii="Times New Roman" w:hAnsi="Times New Roman" w:cs="Times New Roman"/>
          <w:bCs/>
          <w:sz w:val="28"/>
          <w:szCs w:val="28"/>
        </w:rPr>
        <w:t xml:space="preserve">) Thành viên tham gia phiên họp xem xét, quyết định đưa vào các cơ sở cai nghiện bắt buộc; phiên họp xem xét khi có khiếu nại, kiến nghị, kháng nghị về quyết định đưa vào các cơ sở cai nghiện bắt buộc đối với người từ đủ 12 tuổi đến dưới 18 tuổi: </w:t>
      </w:r>
      <w:r w:rsidR="0017145B" w:rsidRPr="001A6333">
        <w:rPr>
          <w:rFonts w:ascii="Times New Roman" w:hAnsi="Times New Roman" w:cs="Times New Roman"/>
          <w:bCs/>
          <w:sz w:val="28"/>
          <w:szCs w:val="28"/>
        </w:rPr>
        <w:t xml:space="preserve">hỗ trợ </w:t>
      </w:r>
      <w:r w:rsidR="0045314A" w:rsidRPr="001A6333">
        <w:rPr>
          <w:rFonts w:ascii="Times New Roman" w:hAnsi="Times New Roman" w:cs="Times New Roman"/>
          <w:bCs/>
          <w:sz w:val="28"/>
          <w:szCs w:val="28"/>
        </w:rPr>
        <w:t>100.000 đồng/thành viên/phiên họp.</w:t>
      </w:r>
    </w:p>
    <w:p w14:paraId="01605334" w14:textId="3EC8139B" w:rsidR="006D5B39" w:rsidRPr="001A6333" w:rsidRDefault="006D5B39"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4.</w:t>
      </w:r>
      <w:r w:rsidRPr="001A6333">
        <w:rPr>
          <w:rFonts w:ascii="Times New Roman" w:hAnsi="Times New Roman" w:cs="Times New Roman"/>
          <w:bCs/>
          <w:sz w:val="28"/>
          <w:szCs w:val="28"/>
        </w:rPr>
        <w:t xml:space="preserve"> Hỗ trợ lập hồ sơ quản lý người sử dụng trái phép chất ma túy: 30.000 đồng/hồ sơ. </w:t>
      </w:r>
    </w:p>
    <w:p w14:paraId="4273C512" w14:textId="132D738E" w:rsidR="006D5B39" w:rsidRPr="001A6333" w:rsidRDefault="006D5B39"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5.</w:t>
      </w:r>
      <w:r w:rsidRPr="001A6333">
        <w:rPr>
          <w:rFonts w:ascii="Times New Roman" w:hAnsi="Times New Roman" w:cs="Times New Roman"/>
          <w:bCs/>
          <w:sz w:val="28"/>
          <w:szCs w:val="28"/>
        </w:rPr>
        <w:t xml:space="preserve"> Hỗ trợ tổ chức xét nghiệm chất ma túy trong cơ thể người sử dụng trái phép chất ma túy: căn cứ vào chứng từ hợ</w:t>
      </w:r>
      <w:r>
        <w:rPr>
          <w:rFonts w:ascii="Times New Roman" w:hAnsi="Times New Roman" w:cs="Times New Roman"/>
          <w:bCs/>
          <w:sz w:val="28"/>
          <w:szCs w:val="28"/>
        </w:rPr>
        <w:t>p pháp.</w:t>
      </w:r>
    </w:p>
    <w:p w14:paraId="5579F41A" w14:textId="77777777" w:rsidR="005F2086"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b/>
          <w:bCs/>
          <w:sz w:val="28"/>
          <w:szCs w:val="28"/>
        </w:rPr>
        <w:t xml:space="preserve">Điều </w:t>
      </w:r>
      <w:r w:rsidR="00D82663" w:rsidRPr="001A6333">
        <w:rPr>
          <w:rFonts w:ascii="Times New Roman" w:hAnsi="Times New Roman" w:cs="Times New Roman"/>
          <w:b/>
          <w:bCs/>
          <w:sz w:val="28"/>
          <w:szCs w:val="28"/>
        </w:rPr>
        <w:t>7</w:t>
      </w:r>
      <w:r w:rsidRPr="001A6333">
        <w:rPr>
          <w:rFonts w:ascii="Times New Roman" w:hAnsi="Times New Roman" w:cs="Times New Roman"/>
          <w:b/>
          <w:bCs/>
          <w:sz w:val="28"/>
          <w:szCs w:val="28"/>
        </w:rPr>
        <w:t>. Chính sách hỗ trợ đối với người lao động tại các cơ sở cai nghiện ma túy công lập</w:t>
      </w:r>
      <w:r w:rsidRPr="001A6333">
        <w:rPr>
          <w:rFonts w:ascii="Times New Roman" w:hAnsi="Times New Roman" w:cs="Times New Roman"/>
          <w:sz w:val="28"/>
          <w:szCs w:val="28"/>
        </w:rPr>
        <w:t xml:space="preserve"> </w:t>
      </w:r>
    </w:p>
    <w:p w14:paraId="6715D283" w14:textId="0B7BE561"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color w:val="000000"/>
          <w:sz w:val="28"/>
          <w:szCs w:val="28"/>
        </w:rPr>
      </w:pPr>
      <w:r w:rsidRPr="001A6333">
        <w:rPr>
          <w:rFonts w:ascii="Times New Roman" w:hAnsi="Times New Roman" w:cs="Times New Roman"/>
          <w:bCs/>
          <w:sz w:val="28"/>
          <w:szCs w:val="28"/>
        </w:rPr>
        <w:t xml:space="preserve">1. Hỗ trợ </w:t>
      </w:r>
      <w:r w:rsidRPr="001A6333">
        <w:rPr>
          <w:rFonts w:ascii="Times New Roman" w:hAnsi="Times New Roman" w:cs="Times New Roman"/>
          <w:bCs/>
          <w:color w:val="000000"/>
          <w:sz w:val="28"/>
          <w:szCs w:val="28"/>
        </w:rPr>
        <w:t>thu hút người lao động</w:t>
      </w:r>
    </w:p>
    <w:p w14:paraId="4B39DE74" w14:textId="3C319B71"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a) Bác sĩ: hỗ trợ 3,0 lần </w:t>
      </w:r>
      <w:r w:rsidR="007D4F0D"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lương cơ sở/tháng.</w:t>
      </w:r>
    </w:p>
    <w:p w14:paraId="0617F371" w14:textId="63491F4A"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b) Người có trình độ đại học, cao đẳng: hỗ trợ 2,0 lần </w:t>
      </w:r>
      <w:r w:rsidR="007D4F0D"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lương cơ sở/tháng.</w:t>
      </w:r>
    </w:p>
    <w:p w14:paraId="5FE2EDB9" w14:textId="6B688D2B"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c) Người có trình độ trung cấp: hỗ trợ 1,5 lần </w:t>
      </w:r>
      <w:r w:rsidR="007D4F0D"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lương cơ sở/tháng.</w:t>
      </w:r>
    </w:p>
    <w:p w14:paraId="1FC6AA7A" w14:textId="46FF57AA"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d) Người lao động không có bằng cấp chuyên môn: hỗ trợ 1,0 lần </w:t>
      </w:r>
      <w:r w:rsidR="007D4F0D"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lương cơ sở/tháng.</w:t>
      </w:r>
    </w:p>
    <w:p w14:paraId="2386BCC0" w14:textId="77777777"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2. Hỗ trợ độc hại</w:t>
      </w:r>
    </w:p>
    <w:p w14:paraId="0303CE99" w14:textId="65BE36F5"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 xml:space="preserve">a) Người lao động làm việc tại các cơ sở cai nghiện ma túy công lập (không tính những người hưởng lương từ nguồn phí dịch vụ) được hỗ trợ mức 0,3 lần </w:t>
      </w:r>
      <w:r w:rsidR="007D4F0D"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 xml:space="preserve">lương cơ sở/tháng. Riêng đối với nhân viên y tế và người trực tiếp điều trị, chăm sóc, chữa trị người nghiện bị nhiễm HIV/AIDS tại các cơ sở cai nghiện thì được hưởng </w:t>
      </w:r>
      <w:r w:rsidR="00FA3294" w:rsidRPr="001A6333">
        <w:rPr>
          <w:rFonts w:ascii="Times New Roman" w:hAnsi="Times New Roman" w:cs="Times New Roman"/>
          <w:bCs/>
          <w:sz w:val="28"/>
          <w:szCs w:val="28"/>
        </w:rPr>
        <w:t xml:space="preserve">hỗ trợ </w:t>
      </w:r>
      <w:r w:rsidRPr="001A6333">
        <w:rPr>
          <w:rFonts w:ascii="Times New Roman" w:hAnsi="Times New Roman" w:cs="Times New Roman"/>
          <w:bCs/>
          <w:sz w:val="28"/>
          <w:szCs w:val="28"/>
        </w:rPr>
        <w:t xml:space="preserve">thêm là 0,1 lần </w:t>
      </w:r>
      <w:r w:rsidR="007D4F0D" w:rsidRPr="001A6333">
        <w:rPr>
          <w:rFonts w:ascii="Times New Roman" w:hAnsi="Times New Roman" w:cs="Times New Roman"/>
          <w:bCs/>
          <w:sz w:val="28"/>
          <w:szCs w:val="28"/>
        </w:rPr>
        <w:t xml:space="preserve">mức </w:t>
      </w:r>
      <w:r w:rsidRPr="001A6333">
        <w:rPr>
          <w:rFonts w:ascii="Times New Roman" w:hAnsi="Times New Roman" w:cs="Times New Roman"/>
          <w:bCs/>
          <w:sz w:val="28"/>
          <w:szCs w:val="28"/>
        </w:rPr>
        <w:t>lương cơ sở/tháng.</w:t>
      </w:r>
    </w:p>
    <w:p w14:paraId="44196394" w14:textId="77777777"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b) Trường hợp phơi nhiễm nghề nghiệp (HIV, lao, bệnh truyền nhiễm…): thanh toán chi phí xét nghiệm, thuốc dự phòng theo hóa đơn trong phạm vi dự toán; đồng thời hỗ trợ một lần 15.000.000 đồng/trường hợp sau khi có biên bản xác nhận.</w:t>
      </w:r>
    </w:p>
    <w:p w14:paraId="1D0DEDC0" w14:textId="6E014907"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color w:val="000000"/>
          <w:sz w:val="28"/>
          <w:szCs w:val="28"/>
        </w:rPr>
      </w:pPr>
      <w:r w:rsidRPr="001A6333">
        <w:rPr>
          <w:rFonts w:ascii="Times New Roman" w:hAnsi="Times New Roman" w:cs="Times New Roman"/>
          <w:bCs/>
          <w:sz w:val="28"/>
          <w:szCs w:val="28"/>
        </w:rPr>
        <w:t>3. Hỗ trợ ưu đãi</w:t>
      </w:r>
      <w:r w:rsidR="00FA3294" w:rsidRPr="001A6333">
        <w:rPr>
          <w:rFonts w:ascii="Times New Roman" w:hAnsi="Times New Roman" w:cs="Times New Roman"/>
          <w:bCs/>
          <w:sz w:val="28"/>
          <w:szCs w:val="28"/>
        </w:rPr>
        <w:t xml:space="preserve"> hằng tháng</w:t>
      </w:r>
    </w:p>
    <w:p w14:paraId="3A66A615" w14:textId="3812472F"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color w:val="000000"/>
          <w:sz w:val="28"/>
          <w:szCs w:val="28"/>
        </w:rPr>
      </w:pPr>
      <w:r w:rsidRPr="001A6333">
        <w:rPr>
          <w:rFonts w:ascii="Times New Roman" w:hAnsi="Times New Roman" w:cs="Times New Roman"/>
          <w:bCs/>
          <w:color w:val="000000"/>
          <w:sz w:val="28"/>
          <w:szCs w:val="28"/>
        </w:rPr>
        <w:t xml:space="preserve">a) </w:t>
      </w:r>
      <w:r w:rsidR="009F7E9D" w:rsidRPr="001A6333">
        <w:rPr>
          <w:rFonts w:ascii="Times New Roman" w:hAnsi="Times New Roman" w:cs="Times New Roman"/>
          <w:bCs/>
          <w:color w:val="000000"/>
          <w:sz w:val="28"/>
          <w:szCs w:val="28"/>
        </w:rPr>
        <w:t xml:space="preserve">Đối </w:t>
      </w:r>
      <w:r w:rsidRPr="001A6333">
        <w:rPr>
          <w:rFonts w:ascii="Times New Roman" w:hAnsi="Times New Roman" w:cs="Times New Roman"/>
          <w:bCs/>
          <w:color w:val="000000"/>
          <w:sz w:val="28"/>
          <w:szCs w:val="28"/>
        </w:rPr>
        <w:t>với người lao động chuyên môn y tế trực tiếp khám, điều trị, chăm sóc, xét nghiệm cho người nghiện ma túy bị bệnh HIV/AIDS tại các cơ sở cai nghiện ma túy công lập</w:t>
      </w:r>
      <w:r w:rsidR="009F7E9D" w:rsidRPr="001A6333">
        <w:rPr>
          <w:rFonts w:ascii="Times New Roman" w:hAnsi="Times New Roman" w:cs="Times New Roman"/>
          <w:bCs/>
          <w:color w:val="000000"/>
          <w:sz w:val="28"/>
          <w:szCs w:val="28"/>
        </w:rPr>
        <w:t xml:space="preserve">: hỗ trợ 70% </w:t>
      </w:r>
      <w:r w:rsidR="00544A0D" w:rsidRPr="001A6333">
        <w:rPr>
          <w:rFonts w:ascii="Times New Roman" w:hAnsi="Times New Roman" w:cs="Times New Roman"/>
          <w:bCs/>
          <w:color w:val="000000"/>
          <w:sz w:val="28"/>
          <w:szCs w:val="28"/>
        </w:rPr>
        <w:t xml:space="preserve">lương theo bậc, ngạch </w:t>
      </w:r>
      <w:r w:rsidR="004F7A80" w:rsidRPr="001A6333">
        <w:rPr>
          <w:rFonts w:ascii="Times New Roman" w:hAnsi="Times New Roman" w:cs="Times New Roman"/>
          <w:bCs/>
          <w:color w:val="000000"/>
          <w:sz w:val="28"/>
          <w:szCs w:val="28"/>
        </w:rPr>
        <w:t>và</w:t>
      </w:r>
      <w:r w:rsidR="00544A0D" w:rsidRPr="001A6333">
        <w:rPr>
          <w:rFonts w:ascii="Times New Roman" w:hAnsi="Times New Roman" w:cs="Times New Roman"/>
          <w:bCs/>
          <w:color w:val="000000"/>
          <w:sz w:val="28"/>
          <w:szCs w:val="28"/>
        </w:rPr>
        <w:t xml:space="preserve"> phụ cấp vượt khung (nếu có)</w:t>
      </w:r>
      <w:r w:rsidRPr="001A6333">
        <w:rPr>
          <w:rFonts w:ascii="Times New Roman" w:hAnsi="Times New Roman" w:cs="Times New Roman"/>
          <w:bCs/>
          <w:color w:val="000000"/>
          <w:sz w:val="28"/>
          <w:szCs w:val="28"/>
        </w:rPr>
        <w:t>;</w:t>
      </w:r>
    </w:p>
    <w:p w14:paraId="0EFE4A79" w14:textId="2CF72D6C"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color w:val="000000"/>
          <w:sz w:val="28"/>
          <w:szCs w:val="28"/>
        </w:rPr>
      </w:pPr>
      <w:r w:rsidRPr="001A6333">
        <w:rPr>
          <w:rFonts w:ascii="Times New Roman" w:hAnsi="Times New Roman" w:cs="Times New Roman"/>
          <w:bCs/>
          <w:color w:val="000000"/>
          <w:sz w:val="28"/>
          <w:szCs w:val="28"/>
        </w:rPr>
        <w:lastRenderedPageBreak/>
        <w:t xml:space="preserve">b) </w:t>
      </w:r>
      <w:r w:rsidR="00544A0D" w:rsidRPr="001A6333">
        <w:rPr>
          <w:rFonts w:ascii="Times New Roman" w:hAnsi="Times New Roman" w:cs="Times New Roman"/>
          <w:bCs/>
          <w:color w:val="000000"/>
          <w:sz w:val="28"/>
          <w:szCs w:val="28"/>
        </w:rPr>
        <w:t>Đ</w:t>
      </w:r>
      <w:r w:rsidRPr="001A6333">
        <w:rPr>
          <w:rFonts w:ascii="Times New Roman" w:hAnsi="Times New Roman" w:cs="Times New Roman"/>
          <w:bCs/>
          <w:color w:val="000000"/>
          <w:sz w:val="28"/>
          <w:szCs w:val="28"/>
        </w:rPr>
        <w:t>ối với người lao động trực tiếp làm chuyên môn y tế và người trực tiếp làm các công việc trông coi, bảo vệ, vận chuyển, phục vụ người nghiện ma túy bị nhiễm HIV/AIDS tại các cơ sở cai nghiện ma túy công lập</w:t>
      </w:r>
      <w:r w:rsidR="00544A0D" w:rsidRPr="001A6333">
        <w:rPr>
          <w:rFonts w:ascii="Times New Roman" w:hAnsi="Times New Roman" w:cs="Times New Roman"/>
          <w:bCs/>
          <w:color w:val="000000"/>
          <w:sz w:val="28"/>
          <w:szCs w:val="28"/>
        </w:rPr>
        <w:t xml:space="preserve">: hỗ trợ 40% lương theo bậc, ngạch </w:t>
      </w:r>
      <w:r w:rsidR="004F7A80" w:rsidRPr="001A6333">
        <w:rPr>
          <w:rFonts w:ascii="Times New Roman" w:hAnsi="Times New Roman" w:cs="Times New Roman"/>
          <w:bCs/>
          <w:color w:val="000000"/>
          <w:sz w:val="28"/>
          <w:szCs w:val="28"/>
        </w:rPr>
        <w:t>và</w:t>
      </w:r>
      <w:r w:rsidR="00544A0D" w:rsidRPr="001A6333">
        <w:rPr>
          <w:rFonts w:ascii="Times New Roman" w:hAnsi="Times New Roman" w:cs="Times New Roman"/>
          <w:bCs/>
          <w:color w:val="000000"/>
          <w:sz w:val="28"/>
          <w:szCs w:val="28"/>
        </w:rPr>
        <w:t xml:space="preserve"> phụ cấp vượt khung (nếu có)</w:t>
      </w:r>
      <w:r w:rsidRPr="001A6333">
        <w:rPr>
          <w:rFonts w:ascii="Times New Roman" w:hAnsi="Times New Roman" w:cs="Times New Roman"/>
          <w:bCs/>
          <w:color w:val="000000"/>
          <w:sz w:val="28"/>
          <w:szCs w:val="28"/>
        </w:rPr>
        <w:t>;</w:t>
      </w:r>
    </w:p>
    <w:p w14:paraId="4C7BCB70" w14:textId="0629399C"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color w:val="000000"/>
          <w:sz w:val="28"/>
          <w:szCs w:val="28"/>
        </w:rPr>
      </w:pPr>
      <w:r w:rsidRPr="001A6333">
        <w:rPr>
          <w:rFonts w:ascii="Times New Roman" w:hAnsi="Times New Roman" w:cs="Times New Roman"/>
          <w:bCs/>
          <w:color w:val="000000"/>
          <w:sz w:val="28"/>
          <w:szCs w:val="28"/>
        </w:rPr>
        <w:t xml:space="preserve">c) </w:t>
      </w:r>
      <w:r w:rsidR="00544A0D" w:rsidRPr="001A6333">
        <w:rPr>
          <w:rFonts w:ascii="Times New Roman" w:hAnsi="Times New Roman" w:cs="Times New Roman"/>
          <w:bCs/>
          <w:color w:val="000000"/>
          <w:sz w:val="28"/>
          <w:szCs w:val="28"/>
        </w:rPr>
        <w:t>Đố</w:t>
      </w:r>
      <w:r w:rsidRPr="001A6333">
        <w:rPr>
          <w:rFonts w:ascii="Times New Roman" w:hAnsi="Times New Roman" w:cs="Times New Roman"/>
          <w:bCs/>
          <w:color w:val="000000"/>
          <w:sz w:val="28"/>
          <w:szCs w:val="28"/>
        </w:rPr>
        <w:t xml:space="preserve">i với người lao động chuyên môn y tế và người trực tiếp phục vụ người nghiện ma túy trong quá trình </w:t>
      </w:r>
      <w:r w:rsidR="001A6333" w:rsidRPr="001A6333">
        <w:rPr>
          <w:rFonts w:ascii="Times New Roman" w:hAnsi="Times New Roman" w:cs="Times New Roman"/>
          <w:bCs/>
          <w:color w:val="000000"/>
          <w:sz w:val="28"/>
          <w:szCs w:val="28"/>
        </w:rPr>
        <w:t>đ</w:t>
      </w:r>
      <w:r w:rsidRPr="001A6333">
        <w:rPr>
          <w:rFonts w:ascii="Times New Roman" w:hAnsi="Times New Roman" w:cs="Times New Roman"/>
          <w:bCs/>
          <w:color w:val="000000"/>
          <w:sz w:val="28"/>
          <w:szCs w:val="28"/>
        </w:rPr>
        <w:t>iều trị cắt cơn, giải độc cho người nghiện ma túy tại các cơ sở cai nghiện ma túy công lậ</w:t>
      </w:r>
      <w:r w:rsidR="00FA3294" w:rsidRPr="001A6333">
        <w:rPr>
          <w:rFonts w:ascii="Times New Roman" w:hAnsi="Times New Roman" w:cs="Times New Roman"/>
          <w:bCs/>
          <w:color w:val="000000"/>
          <w:sz w:val="28"/>
          <w:szCs w:val="28"/>
        </w:rPr>
        <w:t>p</w:t>
      </w:r>
      <w:r w:rsidR="00544A0D" w:rsidRPr="001A6333">
        <w:rPr>
          <w:rFonts w:ascii="Times New Roman" w:hAnsi="Times New Roman" w:cs="Times New Roman"/>
          <w:bCs/>
          <w:color w:val="000000"/>
          <w:sz w:val="28"/>
          <w:szCs w:val="28"/>
        </w:rPr>
        <w:t xml:space="preserve">: hỗ trợ 30% </w:t>
      </w:r>
      <w:r w:rsidR="002B1A50" w:rsidRPr="001A6333">
        <w:rPr>
          <w:rFonts w:ascii="Times New Roman" w:hAnsi="Times New Roman" w:cs="Times New Roman"/>
          <w:bCs/>
          <w:color w:val="000000"/>
          <w:sz w:val="28"/>
          <w:szCs w:val="28"/>
        </w:rPr>
        <w:t xml:space="preserve">lương theo bậc, ngạch </w:t>
      </w:r>
      <w:r w:rsidR="004F7A80" w:rsidRPr="001A6333">
        <w:rPr>
          <w:rFonts w:ascii="Times New Roman" w:hAnsi="Times New Roman" w:cs="Times New Roman"/>
          <w:bCs/>
          <w:color w:val="000000"/>
          <w:sz w:val="28"/>
          <w:szCs w:val="28"/>
        </w:rPr>
        <w:t>và</w:t>
      </w:r>
      <w:r w:rsidR="00544A0D" w:rsidRPr="001A6333">
        <w:rPr>
          <w:rFonts w:ascii="Times New Roman" w:hAnsi="Times New Roman" w:cs="Times New Roman"/>
          <w:bCs/>
          <w:color w:val="000000"/>
          <w:sz w:val="28"/>
          <w:szCs w:val="28"/>
        </w:rPr>
        <w:t xml:space="preserve"> phụ cấp vượt khung (nếu có)</w:t>
      </w:r>
      <w:r w:rsidR="00FA3294" w:rsidRPr="001A6333">
        <w:rPr>
          <w:rFonts w:ascii="Times New Roman" w:hAnsi="Times New Roman" w:cs="Times New Roman"/>
          <w:bCs/>
          <w:color w:val="000000"/>
          <w:sz w:val="28"/>
          <w:szCs w:val="28"/>
        </w:rPr>
        <w:t>;</w:t>
      </w:r>
    </w:p>
    <w:p w14:paraId="44386C77" w14:textId="015DAFB1" w:rsidR="00D82663"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color w:val="000000"/>
          <w:sz w:val="28"/>
          <w:szCs w:val="28"/>
        </w:rPr>
      </w:pPr>
      <w:r w:rsidRPr="001A6333">
        <w:rPr>
          <w:rFonts w:ascii="Times New Roman" w:hAnsi="Times New Roman" w:cs="Times New Roman"/>
          <w:bCs/>
          <w:color w:val="000000"/>
          <w:sz w:val="28"/>
          <w:szCs w:val="28"/>
        </w:rPr>
        <w:t xml:space="preserve">d) </w:t>
      </w:r>
      <w:r w:rsidR="00544A0D" w:rsidRPr="001A6333">
        <w:rPr>
          <w:rFonts w:ascii="Times New Roman" w:hAnsi="Times New Roman" w:cs="Times New Roman"/>
          <w:bCs/>
          <w:color w:val="000000"/>
          <w:sz w:val="28"/>
          <w:szCs w:val="28"/>
        </w:rPr>
        <w:t>Đ</w:t>
      </w:r>
      <w:r w:rsidRPr="001A6333">
        <w:rPr>
          <w:rFonts w:ascii="Times New Roman" w:hAnsi="Times New Roman" w:cs="Times New Roman"/>
          <w:bCs/>
          <w:color w:val="000000"/>
          <w:sz w:val="28"/>
          <w:szCs w:val="28"/>
        </w:rPr>
        <w:t>ối với người lao động trực tiếp quản lý học viên, dạy văn hóa, giáo dục phục hồi hành vi, nhân cách và dạy nghề cho người nghiện ma túy tại các cơ sở cai nghiện ma túy công lập</w:t>
      </w:r>
      <w:r w:rsidR="00544A0D" w:rsidRPr="001A6333">
        <w:rPr>
          <w:rFonts w:ascii="Times New Roman" w:hAnsi="Times New Roman" w:cs="Times New Roman"/>
          <w:bCs/>
          <w:color w:val="000000"/>
          <w:sz w:val="28"/>
          <w:szCs w:val="28"/>
        </w:rPr>
        <w:t xml:space="preserve">: hỗ trợ 50% </w:t>
      </w:r>
      <w:r w:rsidR="002B1A50" w:rsidRPr="001A6333">
        <w:rPr>
          <w:rFonts w:ascii="Times New Roman" w:hAnsi="Times New Roman" w:cs="Times New Roman"/>
          <w:bCs/>
          <w:color w:val="000000"/>
          <w:sz w:val="28"/>
          <w:szCs w:val="28"/>
        </w:rPr>
        <w:t xml:space="preserve">lương theo bậc, ngạch </w:t>
      </w:r>
      <w:r w:rsidR="004F7A80" w:rsidRPr="001A6333">
        <w:rPr>
          <w:rFonts w:ascii="Times New Roman" w:hAnsi="Times New Roman" w:cs="Times New Roman"/>
          <w:bCs/>
          <w:color w:val="000000"/>
          <w:sz w:val="28"/>
          <w:szCs w:val="28"/>
        </w:rPr>
        <w:t>và</w:t>
      </w:r>
      <w:r w:rsidR="00544A0D" w:rsidRPr="001A6333">
        <w:rPr>
          <w:rFonts w:ascii="Times New Roman" w:hAnsi="Times New Roman" w:cs="Times New Roman"/>
          <w:bCs/>
          <w:color w:val="000000"/>
          <w:sz w:val="28"/>
          <w:szCs w:val="28"/>
        </w:rPr>
        <w:t xml:space="preserve"> phụ cấp vượt khung (nếu có)</w:t>
      </w:r>
      <w:r w:rsidRPr="001A6333">
        <w:rPr>
          <w:rFonts w:ascii="Times New Roman" w:hAnsi="Times New Roman" w:cs="Times New Roman"/>
          <w:bCs/>
          <w:color w:val="000000"/>
          <w:sz w:val="28"/>
          <w:szCs w:val="28"/>
        </w:rPr>
        <w:t>;</w:t>
      </w:r>
    </w:p>
    <w:p w14:paraId="7A4E3572" w14:textId="3F85D263" w:rsidR="00544A0D" w:rsidRPr="001A6333" w:rsidRDefault="00D82663"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color w:val="000000"/>
          <w:sz w:val="28"/>
          <w:szCs w:val="28"/>
        </w:rPr>
        <w:t xml:space="preserve">đ) </w:t>
      </w:r>
      <w:r w:rsidR="00544A0D" w:rsidRPr="001A6333">
        <w:rPr>
          <w:rFonts w:ascii="Times New Roman" w:hAnsi="Times New Roman" w:cs="Times New Roman"/>
          <w:bCs/>
          <w:color w:val="000000"/>
          <w:sz w:val="28"/>
          <w:szCs w:val="28"/>
        </w:rPr>
        <w:t>Đ</w:t>
      </w:r>
      <w:r w:rsidRPr="001A6333">
        <w:rPr>
          <w:rFonts w:ascii="Times New Roman" w:hAnsi="Times New Roman" w:cs="Times New Roman"/>
          <w:bCs/>
          <w:color w:val="000000"/>
          <w:sz w:val="28"/>
          <w:szCs w:val="28"/>
        </w:rPr>
        <w:t xml:space="preserve">ối với người lao </w:t>
      </w:r>
      <w:r w:rsidRPr="001A6333">
        <w:rPr>
          <w:rFonts w:ascii="Times New Roman" w:hAnsi="Times New Roman" w:cs="Times New Roman"/>
          <w:bCs/>
          <w:sz w:val="28"/>
          <w:szCs w:val="28"/>
        </w:rPr>
        <w:t>động còn lại</w:t>
      </w:r>
      <w:r w:rsidR="00544A0D" w:rsidRPr="001A6333">
        <w:rPr>
          <w:rFonts w:ascii="Times New Roman" w:hAnsi="Times New Roman" w:cs="Times New Roman"/>
          <w:bCs/>
          <w:sz w:val="28"/>
          <w:szCs w:val="28"/>
        </w:rPr>
        <w:t xml:space="preserve">: </w:t>
      </w:r>
      <w:r w:rsidR="00544A0D" w:rsidRPr="001A6333">
        <w:rPr>
          <w:rFonts w:ascii="Times New Roman" w:hAnsi="Times New Roman" w:cs="Times New Roman"/>
          <w:bCs/>
          <w:color w:val="000000"/>
          <w:sz w:val="28"/>
          <w:szCs w:val="28"/>
        </w:rPr>
        <w:t xml:space="preserve">hỗ trợ 15% </w:t>
      </w:r>
      <w:r w:rsidR="002B1A50" w:rsidRPr="001A6333">
        <w:rPr>
          <w:rFonts w:ascii="Times New Roman" w:hAnsi="Times New Roman" w:cs="Times New Roman"/>
          <w:bCs/>
          <w:color w:val="000000"/>
          <w:sz w:val="28"/>
          <w:szCs w:val="28"/>
        </w:rPr>
        <w:t xml:space="preserve">lương theo bậc, ngạch </w:t>
      </w:r>
      <w:r w:rsidR="004F7A80" w:rsidRPr="001A6333">
        <w:rPr>
          <w:rFonts w:ascii="Times New Roman" w:hAnsi="Times New Roman" w:cs="Times New Roman"/>
          <w:bCs/>
          <w:color w:val="000000"/>
          <w:sz w:val="28"/>
          <w:szCs w:val="28"/>
        </w:rPr>
        <w:t>và</w:t>
      </w:r>
      <w:r w:rsidR="00544A0D" w:rsidRPr="001A6333">
        <w:rPr>
          <w:rFonts w:ascii="Times New Roman" w:hAnsi="Times New Roman" w:cs="Times New Roman"/>
          <w:bCs/>
          <w:color w:val="000000"/>
          <w:sz w:val="28"/>
          <w:szCs w:val="28"/>
        </w:rPr>
        <w:t xml:space="preserve"> phụ cấp vượt khung (nếu có)</w:t>
      </w:r>
      <w:r w:rsidR="00544A0D" w:rsidRPr="001A6333">
        <w:rPr>
          <w:rFonts w:ascii="Times New Roman" w:hAnsi="Times New Roman" w:cs="Times New Roman"/>
          <w:bCs/>
          <w:sz w:val="28"/>
          <w:szCs w:val="28"/>
        </w:rPr>
        <w:t>.</w:t>
      </w:r>
    </w:p>
    <w:p w14:paraId="2C8D05B0" w14:textId="77777777" w:rsidR="00544A0D" w:rsidRPr="001A6333" w:rsidRDefault="00E62C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Cs/>
          <w:sz w:val="28"/>
          <w:szCs w:val="28"/>
        </w:rPr>
      </w:pPr>
      <w:r w:rsidRPr="001A6333">
        <w:rPr>
          <w:rFonts w:ascii="Times New Roman" w:hAnsi="Times New Roman" w:cs="Times New Roman"/>
          <w:bCs/>
          <w:sz w:val="28"/>
          <w:szCs w:val="28"/>
        </w:rPr>
        <w:t>4</w:t>
      </w:r>
      <w:r w:rsidR="00D82663" w:rsidRPr="001A6333">
        <w:rPr>
          <w:rFonts w:ascii="Times New Roman" w:hAnsi="Times New Roman" w:cs="Times New Roman"/>
          <w:bCs/>
          <w:sz w:val="28"/>
          <w:szCs w:val="28"/>
        </w:rPr>
        <w:t>. Khi điều kiện công tác thay đổi (điều chuyển, nghỉ thai sản, nghỉ ốm dài ngày…), mức hỗ trợ được tính theo thời gian thực tế làm nhiệm vụ.</w:t>
      </w:r>
    </w:p>
    <w:p w14:paraId="24B18F98" w14:textId="37E3785B"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sz w:val="28"/>
          <w:szCs w:val="28"/>
        </w:rPr>
      </w:pPr>
      <w:r w:rsidRPr="001A6333">
        <w:rPr>
          <w:rFonts w:ascii="Times New Roman" w:hAnsi="Times New Roman" w:cs="Times New Roman"/>
          <w:b/>
          <w:sz w:val="28"/>
          <w:szCs w:val="28"/>
        </w:rPr>
        <w:t xml:space="preserve">Điều </w:t>
      </w:r>
      <w:r w:rsidR="00D82663" w:rsidRPr="001A6333">
        <w:rPr>
          <w:rFonts w:ascii="Times New Roman" w:hAnsi="Times New Roman" w:cs="Times New Roman"/>
          <w:b/>
          <w:sz w:val="28"/>
          <w:szCs w:val="28"/>
        </w:rPr>
        <w:t>8</w:t>
      </w:r>
      <w:r w:rsidRPr="001A6333">
        <w:rPr>
          <w:rFonts w:ascii="Times New Roman" w:hAnsi="Times New Roman" w:cs="Times New Roman"/>
          <w:b/>
          <w:sz w:val="28"/>
          <w:szCs w:val="28"/>
        </w:rPr>
        <w:t>. Nguồn kinh phí thực hiện</w:t>
      </w:r>
    </w:p>
    <w:p w14:paraId="7D153827" w14:textId="77777777" w:rsidR="005F2086" w:rsidRPr="001A6333" w:rsidRDefault="001920B3"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Nguồn kinh phí thực hiện do ngân sách nhà nước đảm bảo theo phân cấp ngân sách hiện hành.</w:t>
      </w:r>
    </w:p>
    <w:p w14:paraId="423FC1CC" w14:textId="77777777" w:rsidR="004B7D61" w:rsidRPr="001A6333" w:rsidRDefault="0045314A"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b/>
          <w:sz w:val="28"/>
          <w:szCs w:val="28"/>
          <w:lang w:val="pt-BR"/>
        </w:rPr>
      </w:pPr>
      <w:r w:rsidRPr="001A6333">
        <w:rPr>
          <w:rFonts w:ascii="Times New Roman" w:hAnsi="Times New Roman" w:cs="Times New Roman"/>
          <w:b/>
          <w:sz w:val="28"/>
          <w:szCs w:val="28"/>
        </w:rPr>
        <w:t xml:space="preserve">Điều </w:t>
      </w:r>
      <w:r w:rsidR="006E73A5" w:rsidRPr="001A6333">
        <w:rPr>
          <w:rFonts w:ascii="Times New Roman" w:hAnsi="Times New Roman" w:cs="Times New Roman"/>
          <w:b/>
          <w:sz w:val="28"/>
          <w:szCs w:val="28"/>
        </w:rPr>
        <w:t>9</w:t>
      </w:r>
      <w:r w:rsidRPr="001A6333">
        <w:rPr>
          <w:rFonts w:ascii="Times New Roman" w:hAnsi="Times New Roman" w:cs="Times New Roman"/>
          <w:b/>
          <w:sz w:val="28"/>
          <w:szCs w:val="28"/>
          <w:lang w:val="pt-BR"/>
        </w:rPr>
        <w:t>. Hiệu lực thi hành</w:t>
      </w:r>
    </w:p>
    <w:p w14:paraId="2007E1E1" w14:textId="6E429399" w:rsidR="00B5011F" w:rsidRPr="001A6333" w:rsidRDefault="00B5011F"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bCs/>
          <w:sz w:val="28"/>
          <w:szCs w:val="28"/>
          <w:lang w:val="pt-BR"/>
        </w:rPr>
      </w:pPr>
      <w:r w:rsidRPr="001A6333">
        <w:rPr>
          <w:rFonts w:ascii="Times New Roman" w:hAnsi="Times New Roman" w:cs="Times New Roman"/>
          <w:bCs/>
          <w:sz w:val="28"/>
          <w:szCs w:val="28"/>
          <w:lang w:val="pt-BR"/>
        </w:rPr>
        <w:t xml:space="preserve">1. Nghị quyết này có hiệu lực từ ngày </w:t>
      </w:r>
      <w:r w:rsidR="00FB3A93">
        <w:rPr>
          <w:rFonts w:ascii="Times New Roman" w:hAnsi="Times New Roman" w:cs="Times New Roman"/>
          <w:bCs/>
          <w:sz w:val="28"/>
          <w:szCs w:val="28"/>
          <w:lang w:val="pt-BR"/>
        </w:rPr>
        <w:t xml:space="preserve">    </w:t>
      </w:r>
      <w:r w:rsidRPr="001A6333">
        <w:rPr>
          <w:rFonts w:ascii="Times New Roman" w:hAnsi="Times New Roman" w:cs="Times New Roman"/>
          <w:bCs/>
          <w:sz w:val="28"/>
          <w:szCs w:val="28"/>
          <w:lang w:val="pt-BR"/>
        </w:rPr>
        <w:t xml:space="preserve"> tháng</w:t>
      </w:r>
      <w:r w:rsidR="00FB3A93">
        <w:rPr>
          <w:rFonts w:ascii="Times New Roman" w:hAnsi="Times New Roman" w:cs="Times New Roman"/>
          <w:bCs/>
          <w:sz w:val="28"/>
          <w:szCs w:val="28"/>
          <w:lang w:val="pt-BR"/>
        </w:rPr>
        <w:t xml:space="preserve">    </w:t>
      </w:r>
      <w:r w:rsidRPr="001A6333">
        <w:rPr>
          <w:rFonts w:ascii="Times New Roman" w:hAnsi="Times New Roman" w:cs="Times New Roman"/>
          <w:bCs/>
          <w:sz w:val="28"/>
          <w:szCs w:val="28"/>
          <w:lang w:val="pt-BR"/>
        </w:rPr>
        <w:t xml:space="preserve"> năm 2025.</w:t>
      </w:r>
    </w:p>
    <w:p w14:paraId="697126A3" w14:textId="54D70DAD" w:rsidR="00B5011F" w:rsidRPr="001A6333" w:rsidRDefault="00B5011F"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Trước ngày Nghị quyết này có hiệu lực, các trường hợp đã được giải quyết chính sách chế độ hỗ trợ thì hưởng chính sách hỗ trợ theo các Nghị quyết của Hội đồng nhân dân Thành phố Hồ Chí Minh, tỉnh Bình Dương, tỉnh Bà Rịa - Vũng Tàu (trước sắp xếp); sau ngày Nghị quyết này có hiệu lực thì thực hiện theo các quy định của Nghị quyết này tại thời điểm chi trả và không thực hiện truy thu hoặc chi bổ sung phần chênh lệch.</w:t>
      </w:r>
    </w:p>
    <w:p w14:paraId="1FEB6FFF" w14:textId="1B8554DF" w:rsidR="00B5011F" w:rsidRPr="001A6333" w:rsidRDefault="00B5011F"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bCs/>
          <w:sz w:val="28"/>
          <w:szCs w:val="28"/>
          <w:lang w:val="pt-BR"/>
        </w:rPr>
        <w:t xml:space="preserve">2. Các </w:t>
      </w:r>
      <w:r w:rsidRPr="001A6333">
        <w:rPr>
          <w:rFonts w:ascii="Times New Roman" w:hAnsi="Times New Roman" w:cs="Times New Roman"/>
          <w:sz w:val="28"/>
          <w:szCs w:val="28"/>
        </w:rPr>
        <w:t>chính sách hỗ trợ được quy định tại Điều 7 Nghị quyết này có hiệu lực từ ngày 01 tháng 7 năm 2025.</w:t>
      </w:r>
    </w:p>
    <w:p w14:paraId="576A9E96" w14:textId="4494E653" w:rsidR="00B5011F" w:rsidRPr="00F243EC" w:rsidRDefault="00B5011F"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F243EC">
        <w:rPr>
          <w:rFonts w:ascii="Times New Roman" w:hAnsi="Times New Roman" w:cs="Times New Roman"/>
          <w:sz w:val="28"/>
          <w:szCs w:val="28"/>
        </w:rPr>
        <w:t>3. Chính sách hỗ trợ</w:t>
      </w:r>
      <w:r w:rsidR="00896373" w:rsidRPr="00F243EC">
        <w:rPr>
          <w:rFonts w:ascii="Times New Roman" w:hAnsi="Times New Roman" w:cs="Times New Roman"/>
          <w:sz w:val="28"/>
          <w:szCs w:val="28"/>
        </w:rPr>
        <w:t xml:space="preserve"> quy định tại Điều 4 Nghị quyết này</w:t>
      </w:r>
      <w:r w:rsidRPr="00F243EC">
        <w:rPr>
          <w:rFonts w:ascii="Times New Roman" w:hAnsi="Times New Roman" w:cs="Times New Roman"/>
          <w:sz w:val="28"/>
          <w:szCs w:val="28"/>
        </w:rPr>
        <w:t xml:space="preserve"> đượ</w:t>
      </w:r>
      <w:r w:rsidR="004F7A80" w:rsidRPr="00F243EC">
        <w:rPr>
          <w:rFonts w:ascii="Times New Roman" w:hAnsi="Times New Roman" w:cs="Times New Roman"/>
          <w:sz w:val="28"/>
          <w:szCs w:val="28"/>
        </w:rPr>
        <w:t>c n</w:t>
      </w:r>
      <w:r w:rsidRPr="00F243EC">
        <w:rPr>
          <w:rFonts w:ascii="Times New Roman" w:hAnsi="Times New Roman" w:cs="Times New Roman"/>
          <w:sz w:val="28"/>
          <w:szCs w:val="28"/>
        </w:rPr>
        <w:t>gân sách Thành phố đảm bảo đến</w:t>
      </w:r>
      <w:r w:rsidR="004F7A80" w:rsidRPr="00F243EC">
        <w:rPr>
          <w:rFonts w:ascii="Times New Roman" w:hAnsi="Times New Roman" w:cs="Times New Roman"/>
          <w:sz w:val="28"/>
          <w:szCs w:val="28"/>
        </w:rPr>
        <w:t xml:space="preserve"> khi có </w:t>
      </w:r>
      <w:r w:rsidR="00896373" w:rsidRPr="00F243EC">
        <w:rPr>
          <w:rFonts w:ascii="Times New Roman" w:hAnsi="Times New Roman" w:cs="Times New Roman"/>
          <w:sz w:val="28"/>
          <w:szCs w:val="28"/>
        </w:rPr>
        <w:t xml:space="preserve">văn bản </w:t>
      </w:r>
      <w:r w:rsidR="004F7A80" w:rsidRPr="00F243EC">
        <w:rPr>
          <w:rFonts w:ascii="Times New Roman" w:hAnsi="Times New Roman" w:cs="Times New Roman"/>
          <w:sz w:val="28"/>
          <w:szCs w:val="28"/>
        </w:rPr>
        <w:t xml:space="preserve">hướng dẫn </w:t>
      </w:r>
      <w:r w:rsidR="00896373" w:rsidRPr="00F243EC">
        <w:rPr>
          <w:rFonts w:ascii="Times New Roman" w:hAnsi="Times New Roman" w:cs="Times New Roman"/>
          <w:sz w:val="28"/>
          <w:szCs w:val="28"/>
        </w:rPr>
        <w:t>hoặc thay thế của Bộ, ngành Trung ương</w:t>
      </w:r>
      <w:r w:rsidR="000177C7" w:rsidRPr="00F243EC">
        <w:rPr>
          <w:rFonts w:ascii="Times New Roman" w:hAnsi="Times New Roman" w:cs="Times New Roman"/>
          <w:sz w:val="28"/>
          <w:szCs w:val="28"/>
        </w:rPr>
        <w:t xml:space="preserve"> triển khai Nghị quyết 227/2025/QH15, Luật Phòng, chống ma túy sửa đổi</w:t>
      </w:r>
      <w:r w:rsidRPr="00F243EC">
        <w:rPr>
          <w:rFonts w:ascii="Times New Roman" w:hAnsi="Times New Roman" w:cs="Times New Roman"/>
          <w:sz w:val="28"/>
          <w:szCs w:val="28"/>
        </w:rPr>
        <w:t>.</w:t>
      </w:r>
    </w:p>
    <w:p w14:paraId="0193ED19" w14:textId="53FBE336"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bCs/>
          <w:sz w:val="28"/>
          <w:szCs w:val="28"/>
        </w:rPr>
      </w:pPr>
      <w:r w:rsidRPr="00F243EC">
        <w:rPr>
          <w:rFonts w:ascii="Times New Roman" w:hAnsi="Times New Roman" w:cs="Times New Roman"/>
          <w:b/>
          <w:bCs/>
          <w:sz w:val="28"/>
          <w:szCs w:val="28"/>
        </w:rPr>
        <w:t xml:space="preserve">Điều </w:t>
      </w:r>
      <w:r w:rsidR="006E73A5" w:rsidRPr="00F243EC">
        <w:rPr>
          <w:rFonts w:ascii="Times New Roman" w:hAnsi="Times New Roman" w:cs="Times New Roman"/>
          <w:b/>
          <w:bCs/>
          <w:sz w:val="28"/>
          <w:szCs w:val="28"/>
        </w:rPr>
        <w:t>10</w:t>
      </w:r>
      <w:r w:rsidRPr="00F243EC">
        <w:rPr>
          <w:rFonts w:ascii="Times New Roman" w:hAnsi="Times New Roman" w:cs="Times New Roman"/>
          <w:b/>
          <w:bCs/>
          <w:sz w:val="28"/>
          <w:szCs w:val="28"/>
        </w:rPr>
        <w:t>. Bãi bỏ một số nội dung của các Nghị quyết</w:t>
      </w:r>
    </w:p>
    <w:p w14:paraId="22FB7A67" w14:textId="7B3DCB28"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color w:val="000000"/>
          <w:sz w:val="28"/>
          <w:szCs w:val="28"/>
          <w:shd w:val="clear" w:color="auto" w:fill="FFFFFF"/>
        </w:rPr>
        <w:t xml:space="preserve">1. </w:t>
      </w:r>
      <w:r w:rsidRPr="001A6333">
        <w:rPr>
          <w:rFonts w:ascii="Times New Roman" w:hAnsi="Times New Roman" w:cs="Times New Roman"/>
          <w:sz w:val="28"/>
          <w:szCs w:val="28"/>
        </w:rPr>
        <w:t xml:space="preserve">Bãi bỏ các cụm từ “cơ sở cai nghiện ma túy” tại Nghị quyết số 21/2017/NQ-HĐND ngày 07 tháng 12 năm 2017 của Hội đồng nhân dân Thành phố Hồ Chí Minh về việc điều chỉnh, bổ sung một số chế độ hỗ trợ đối với công chức, viên chức, người lao động tại các cơ sở xã hội, cơ sở cai nghiện ma túy do Sở Lao động </w:t>
      </w:r>
      <w:r w:rsidR="009227AE" w:rsidRPr="001A6333">
        <w:rPr>
          <w:rFonts w:ascii="Times New Roman" w:hAnsi="Times New Roman" w:cs="Times New Roman"/>
          <w:sz w:val="28"/>
          <w:szCs w:val="28"/>
        </w:rPr>
        <w:t>-</w:t>
      </w:r>
      <w:r w:rsidRPr="001A6333">
        <w:rPr>
          <w:rFonts w:ascii="Times New Roman" w:hAnsi="Times New Roman" w:cs="Times New Roman"/>
          <w:sz w:val="28"/>
          <w:szCs w:val="28"/>
        </w:rPr>
        <w:t xml:space="preserve"> Thương binh và Xã hội, Lực lượng Thanh niên xung phong quản lý và </w:t>
      </w:r>
      <w:r w:rsidR="009227AE" w:rsidRPr="001A6333">
        <w:rPr>
          <w:rFonts w:ascii="Times New Roman" w:hAnsi="Times New Roman" w:cs="Times New Roman"/>
          <w:sz w:val="28"/>
          <w:szCs w:val="28"/>
        </w:rPr>
        <w:t>Bệnh viện</w:t>
      </w:r>
      <w:r w:rsidRPr="001A6333">
        <w:rPr>
          <w:rFonts w:ascii="Times New Roman" w:hAnsi="Times New Roman" w:cs="Times New Roman"/>
          <w:sz w:val="28"/>
          <w:szCs w:val="28"/>
        </w:rPr>
        <w:t xml:space="preserve"> Nhân Ái thuộc Sở </w:t>
      </w:r>
      <w:r w:rsidR="00E26FDF" w:rsidRPr="001A6333">
        <w:rPr>
          <w:rFonts w:ascii="Times New Roman" w:hAnsi="Times New Roman" w:cs="Times New Roman"/>
          <w:sz w:val="28"/>
          <w:szCs w:val="28"/>
        </w:rPr>
        <w:t xml:space="preserve">Y </w:t>
      </w:r>
      <w:r w:rsidRPr="001A6333">
        <w:rPr>
          <w:rFonts w:ascii="Times New Roman" w:hAnsi="Times New Roman" w:cs="Times New Roman"/>
          <w:sz w:val="28"/>
          <w:szCs w:val="28"/>
        </w:rPr>
        <w:t>tế</w:t>
      </w:r>
      <w:r w:rsidR="00E26FDF" w:rsidRPr="001A6333">
        <w:rPr>
          <w:rFonts w:ascii="Times New Roman" w:hAnsi="Times New Roman" w:cs="Times New Roman"/>
          <w:sz w:val="28"/>
          <w:szCs w:val="28"/>
        </w:rPr>
        <w:t>.</w:t>
      </w:r>
    </w:p>
    <w:p w14:paraId="24937C3D" w14:textId="63DC9D78"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lastRenderedPageBreak/>
        <w:t>2. Bãi bỏ các cụm từ “cơ sở cai nghiện ma túy” tại Nghị quyết số 11/2019/NQ-HĐND ngày 13 tháng 7 năm 2019 của Hội đồng nhân dân Thành phố Hồ Chí Minh về chế độ trợ cấp đặc thù đối với công chức, viên chức và người lao động làm việc tại các cơ sở cai nghiện ma túy, cơ sở xã hội công lập theo Nghị định 26/2016/NĐ-CP ngày 06 tháng 4 năm 2016 của Chính phủ</w:t>
      </w:r>
      <w:r w:rsidR="00E26FDF" w:rsidRPr="001A6333">
        <w:rPr>
          <w:rFonts w:ascii="Times New Roman" w:hAnsi="Times New Roman" w:cs="Times New Roman"/>
          <w:sz w:val="28"/>
          <w:szCs w:val="28"/>
        </w:rPr>
        <w:t>.</w:t>
      </w:r>
    </w:p>
    <w:p w14:paraId="06003591" w14:textId="4311650B" w:rsidR="007D4F0D" w:rsidRPr="001A6333"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3. Bãi bỏ khoản 1, khoản 3 Điều 1 Nghị quyết số 21/2017/NQ-HĐND ngày 13 tháng 7 năm 2017 của Hội đồng nhân dân tỉnh Bà Rịa – Vũng Tàu về quy định mức trợ cấp đặc thù áp dụng đối với công chức, viên chức và người lao động làm việc tại các cơ sở tư vấn và Điều trị nghiện ma túy tỉnh và mức hỗ trợ cho công chức, người lao động, cán bộ chiến sỹ làm công tác phòng chống tệ nạn ma túy trên địa bàn tỉnh.</w:t>
      </w:r>
    </w:p>
    <w:p w14:paraId="76D2049D" w14:textId="4BDFAF17" w:rsidR="00E26FDF"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4</w:t>
      </w:r>
      <w:r w:rsidR="00E26FDF" w:rsidRPr="001A6333">
        <w:rPr>
          <w:rFonts w:ascii="Times New Roman" w:hAnsi="Times New Roman" w:cs="Times New Roman"/>
          <w:sz w:val="28"/>
          <w:szCs w:val="28"/>
        </w:rPr>
        <w:t>. Bãi bỏ khoản 2</w:t>
      </w:r>
      <w:r w:rsidR="00036734" w:rsidRPr="001A6333">
        <w:rPr>
          <w:rFonts w:ascii="Times New Roman" w:hAnsi="Times New Roman" w:cs="Times New Roman"/>
          <w:sz w:val="28"/>
          <w:szCs w:val="28"/>
        </w:rPr>
        <w:t xml:space="preserve"> Điều 1</w:t>
      </w:r>
      <w:r w:rsidR="00E26FDF" w:rsidRPr="001A6333">
        <w:rPr>
          <w:rFonts w:ascii="Times New Roman" w:hAnsi="Times New Roman" w:cs="Times New Roman"/>
          <w:sz w:val="28"/>
          <w:szCs w:val="28"/>
        </w:rPr>
        <w:t xml:space="preserve"> Nghị quyết số 25/2019/NQ-HĐND ngày 12 tháng 12 năm 2019 của Hội đồng nhân dân tỉnh Bình Dương về quy định mức trợ cấp đặc thù và chính sách hỗ trợ đối với công chức, viên chức, người lao động làm việc tại các cơ sở quản lý người nghiện ma túy, người sau cai nghiện ma túy, cơ sở trợ giúp xã hội công lập, Ban quản lý nghĩa trang liệt sỹ tỉnh, tổ quản trang cấp huyện trên </w:t>
      </w:r>
      <w:r w:rsidR="00E26FDF" w:rsidRPr="003B2C50">
        <w:rPr>
          <w:rFonts w:ascii="Times New Roman" w:hAnsi="Times New Roman" w:cs="Times New Roman"/>
          <w:sz w:val="28"/>
          <w:szCs w:val="28"/>
        </w:rPr>
        <w:t xml:space="preserve">địa bàn tỉnh </w:t>
      </w:r>
      <w:r w:rsidR="00036734" w:rsidRPr="003B2C50">
        <w:rPr>
          <w:rFonts w:ascii="Times New Roman" w:hAnsi="Times New Roman" w:cs="Times New Roman"/>
          <w:sz w:val="28"/>
          <w:szCs w:val="28"/>
        </w:rPr>
        <w:t>Bình Dương.</w:t>
      </w:r>
    </w:p>
    <w:p w14:paraId="11C2DF11" w14:textId="77777777" w:rsidR="007D4F0D"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pacing w:val="-4"/>
          <w:sz w:val="28"/>
          <w:szCs w:val="28"/>
          <w:lang w:val="pt-BR"/>
        </w:rPr>
      </w:pPr>
      <w:r w:rsidRPr="003B2C50">
        <w:rPr>
          <w:rFonts w:ascii="Times New Roman" w:hAnsi="Times New Roman" w:cs="Times New Roman"/>
          <w:spacing w:val="-10"/>
          <w:sz w:val="28"/>
          <w:szCs w:val="28"/>
        </w:rPr>
        <w:t xml:space="preserve">5. Bãi bỏ </w:t>
      </w:r>
      <w:r w:rsidRPr="003B2C50">
        <w:rPr>
          <w:rFonts w:ascii="Times New Roman" w:hAnsi="Times New Roman" w:cs="Times New Roman"/>
          <w:spacing w:val="-10"/>
          <w:sz w:val="28"/>
          <w:szCs w:val="28"/>
          <w:lang w:val="pt-BR"/>
        </w:rPr>
        <w:t xml:space="preserve">điểm c khoản 1, </w:t>
      </w:r>
      <w:r w:rsidRPr="003B2C50">
        <w:rPr>
          <w:rFonts w:ascii="Times New Roman" w:hAnsi="Times New Roman" w:cs="Times New Roman"/>
          <w:spacing w:val="-10"/>
          <w:sz w:val="28"/>
          <w:szCs w:val="28"/>
        </w:rPr>
        <w:t xml:space="preserve">điểm a khoản 2 Điều 1 </w:t>
      </w:r>
      <w:r w:rsidRPr="003B2C50">
        <w:rPr>
          <w:rFonts w:ascii="Times New Roman" w:hAnsi="Times New Roman" w:cs="Times New Roman"/>
          <w:spacing w:val="-10"/>
          <w:sz w:val="28"/>
          <w:szCs w:val="28"/>
          <w:lang w:val="pt-BR"/>
        </w:rPr>
        <w:t>Nghị quyết số 09/2024/NQ-</w:t>
      </w:r>
      <w:r w:rsidRPr="003B2C50">
        <w:rPr>
          <w:rFonts w:ascii="Times New Roman" w:hAnsi="Times New Roman" w:cs="Times New Roman"/>
          <w:sz w:val="28"/>
          <w:szCs w:val="28"/>
          <w:lang w:val="pt-BR"/>
        </w:rPr>
        <w:t>HĐND ngày 2</w:t>
      </w:r>
      <w:r w:rsidRPr="003B2C50">
        <w:rPr>
          <w:rFonts w:ascii="Times New Roman" w:hAnsi="Times New Roman" w:cs="Times New Roman"/>
          <w:spacing w:val="-4"/>
          <w:sz w:val="28"/>
          <w:szCs w:val="28"/>
          <w:lang w:val="pt-BR"/>
        </w:rPr>
        <w:t>4 tháng 7 năm 2024 của Hội đồng nhân dân tỉnh Bình Dương quy định chính sách hỗ trợ công tác phòng, chống và kiểm soát ma túy trên địa bàn tỉnh Bình Dương.</w:t>
      </w:r>
    </w:p>
    <w:p w14:paraId="7B945F46" w14:textId="275A65B9" w:rsidR="007D4F0D"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3B2C50">
        <w:rPr>
          <w:rFonts w:ascii="Times New Roman" w:hAnsi="Times New Roman" w:cs="Times New Roman"/>
          <w:bCs/>
          <w:sz w:val="28"/>
          <w:szCs w:val="28"/>
          <w:lang w:val="nb-NO"/>
        </w:rPr>
        <w:t>6. Bãi bỏ toàn bộ</w:t>
      </w:r>
      <w:r w:rsidRPr="003B2C50">
        <w:rPr>
          <w:rFonts w:ascii="Times New Roman" w:hAnsi="Times New Roman" w:cs="Times New Roman"/>
          <w:sz w:val="28"/>
          <w:szCs w:val="28"/>
        </w:rPr>
        <w:t xml:space="preserve"> Nghị quyết số 20/2022/NQ-HĐND ngày 10 tháng 12 năm 2022 của Hội đồng nhân dân tỉnh Bà Rịa - Vũng Tàu về quy định mức tiền ăn, mặc và đồ dùng sinh hoạt cá nhân cho người cai nghiện bị áp dụng biện pháp đưa vào cơ sở cai nghiện ma túy bắt buộc trên địa bàn tỉnh Bà Rịa - Vũng Tàu.</w:t>
      </w:r>
    </w:p>
    <w:p w14:paraId="1C4C6BBA" w14:textId="54F63D6E" w:rsidR="007D4F0D"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3B2C50">
        <w:rPr>
          <w:rFonts w:ascii="Times New Roman" w:hAnsi="Times New Roman" w:cs="Times New Roman"/>
          <w:sz w:val="28"/>
          <w:szCs w:val="28"/>
        </w:rPr>
        <w:t>7. Bãi bỏ toàn bộ Nghị quyết số 17/2023/NQ-HĐND ngày 26 tháng 7 năm 2023 của Hội đồng nhân dân tỉnh Bình Dương về quy định chế độ hỗ trợ để áp dụng các biện pháp cai nghiện ma túy trên địa bàn tỉnh Bình Dương.</w:t>
      </w:r>
    </w:p>
    <w:p w14:paraId="4DA3AB19" w14:textId="33EDFD72" w:rsidR="007D4F0D"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i/>
          <w:sz w:val="28"/>
          <w:szCs w:val="28"/>
        </w:rPr>
      </w:pPr>
      <w:r w:rsidRPr="003B2C50">
        <w:rPr>
          <w:rFonts w:ascii="Times New Roman" w:hAnsi="Times New Roman" w:cs="Times New Roman"/>
          <w:sz w:val="28"/>
          <w:szCs w:val="28"/>
        </w:rPr>
        <w:t>8. Bãi bỏ toàn bộ Nghị quyết số 21/2023/NQ-HĐND ngày 11 tháng 11 năm 2023 của Hội đồng nhân dân Thành phố Hồ Chí Minh về quy định chính sách hỗ trợ đối với người cai nghiện ma túy và người sử dụng trái phép chất ma túy bị tạm giữ theo thủ tục hành chính để xác định tình trạng nghiện ma túy tại các cơ sở cai nghiện ma túy công lập trên địa bàn Thành phố Hồ Chí Minh</w:t>
      </w:r>
      <w:r w:rsidRPr="003B2C50">
        <w:rPr>
          <w:rFonts w:ascii="Times New Roman" w:hAnsi="Times New Roman" w:cs="Times New Roman"/>
          <w:i/>
          <w:sz w:val="28"/>
          <w:szCs w:val="28"/>
        </w:rPr>
        <w:t>.</w:t>
      </w:r>
    </w:p>
    <w:p w14:paraId="7FBCAE13" w14:textId="6647B491" w:rsidR="005F2086"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3B2C50">
        <w:rPr>
          <w:rFonts w:ascii="Times New Roman" w:hAnsi="Times New Roman" w:cs="Times New Roman"/>
          <w:spacing w:val="-6"/>
          <w:sz w:val="28"/>
          <w:szCs w:val="28"/>
        </w:rPr>
        <w:t>9</w:t>
      </w:r>
      <w:r w:rsidR="0045314A" w:rsidRPr="003B2C50">
        <w:rPr>
          <w:rFonts w:ascii="Times New Roman" w:hAnsi="Times New Roman" w:cs="Times New Roman"/>
          <w:spacing w:val="-6"/>
          <w:sz w:val="28"/>
          <w:szCs w:val="28"/>
        </w:rPr>
        <w:t xml:space="preserve">. Bãi bỏ </w:t>
      </w:r>
      <w:r w:rsidR="00FA3CF0" w:rsidRPr="003B2C50">
        <w:rPr>
          <w:rFonts w:ascii="Times New Roman" w:hAnsi="Times New Roman" w:cs="Times New Roman"/>
          <w:spacing w:val="-6"/>
          <w:sz w:val="28"/>
          <w:szCs w:val="28"/>
        </w:rPr>
        <w:t>toàn bộ</w:t>
      </w:r>
      <w:r w:rsidR="0045314A" w:rsidRPr="003B2C50">
        <w:rPr>
          <w:rFonts w:ascii="Times New Roman" w:hAnsi="Times New Roman" w:cs="Times New Roman"/>
          <w:spacing w:val="-6"/>
          <w:sz w:val="28"/>
          <w:szCs w:val="28"/>
        </w:rPr>
        <w:t xml:space="preserve"> Nghị quyết số 18/2023/NQ-</w:t>
      </w:r>
      <w:r w:rsidR="0045314A" w:rsidRPr="003B2C50">
        <w:rPr>
          <w:rFonts w:ascii="Times New Roman" w:hAnsi="Times New Roman" w:cs="Times New Roman"/>
          <w:sz w:val="28"/>
          <w:szCs w:val="28"/>
        </w:rPr>
        <w:t xml:space="preserve">HĐND </w:t>
      </w:r>
      <w:r w:rsidR="00E26FDF" w:rsidRPr="003B2C50">
        <w:rPr>
          <w:rFonts w:ascii="Times New Roman" w:hAnsi="Times New Roman" w:cs="Times New Roman"/>
          <w:sz w:val="28"/>
          <w:szCs w:val="28"/>
        </w:rPr>
        <w:t xml:space="preserve">ngày 08 tháng 12 năm 2023 của Hội đồng nhân dân tỉnh Bà Rịa – Vũng Tàu về </w:t>
      </w:r>
      <w:r w:rsidR="00DD6EF7" w:rsidRPr="003B2C50">
        <w:rPr>
          <w:rFonts w:ascii="Times New Roman" w:hAnsi="Times New Roman" w:cs="Times New Roman"/>
          <w:sz w:val="28"/>
          <w:szCs w:val="28"/>
        </w:rPr>
        <w:t xml:space="preserve">quy </w:t>
      </w:r>
      <w:r w:rsidR="00E26FDF" w:rsidRPr="003B2C50">
        <w:rPr>
          <w:rFonts w:ascii="Times New Roman" w:hAnsi="Times New Roman" w:cs="Times New Roman"/>
          <w:sz w:val="28"/>
          <w:szCs w:val="28"/>
        </w:rPr>
        <w:t>định mức hỗ trợ người cai nghiện ma túy và người làm công tác tư vấn, quản lý đối tượng cai nghiện ma túy tự nguyện; người được phân công giúp đỡ người sử dụng trái phép chất ma túy, người được giáo dục tại xã, phường,</w:t>
      </w:r>
      <w:r w:rsidR="008F2797" w:rsidRPr="003B2C50">
        <w:rPr>
          <w:rFonts w:ascii="Times New Roman" w:hAnsi="Times New Roman" w:cs="Times New Roman"/>
          <w:sz w:val="28"/>
          <w:szCs w:val="28"/>
        </w:rPr>
        <w:t xml:space="preserve"> </w:t>
      </w:r>
      <w:r w:rsidR="00E26FDF" w:rsidRPr="003B2C50">
        <w:rPr>
          <w:rFonts w:ascii="Times New Roman" w:hAnsi="Times New Roman" w:cs="Times New Roman"/>
          <w:sz w:val="28"/>
          <w:szCs w:val="28"/>
        </w:rPr>
        <w:t xml:space="preserve">thị trấn trên địa bàn tỉnh Bà Rịa </w:t>
      </w:r>
      <w:r w:rsidR="009227AE" w:rsidRPr="003B2C50">
        <w:rPr>
          <w:rFonts w:ascii="Times New Roman" w:hAnsi="Times New Roman" w:cs="Times New Roman"/>
          <w:sz w:val="28"/>
          <w:szCs w:val="28"/>
        </w:rPr>
        <w:t>-</w:t>
      </w:r>
      <w:r w:rsidR="00E26FDF" w:rsidRPr="003B2C50">
        <w:rPr>
          <w:rFonts w:ascii="Times New Roman" w:hAnsi="Times New Roman" w:cs="Times New Roman"/>
          <w:sz w:val="28"/>
          <w:szCs w:val="28"/>
        </w:rPr>
        <w:t xml:space="preserve"> Vũng Tàu.</w:t>
      </w:r>
    </w:p>
    <w:p w14:paraId="43C3851B" w14:textId="53A5EF79" w:rsidR="00896373" w:rsidRPr="003B2C50" w:rsidRDefault="007D4F0D" w:rsidP="00FB3950">
      <w:pPr>
        <w:pBdr>
          <w:bottom w:val="single" w:sz="4" w:space="22" w:color="FFFFFF"/>
        </w:pBdr>
        <w:shd w:val="clear" w:color="auto" w:fill="FFFFFF"/>
        <w:spacing w:before="120" w:after="120" w:line="240" w:lineRule="auto"/>
        <w:ind w:firstLine="720"/>
        <w:jc w:val="both"/>
        <w:rPr>
          <w:rFonts w:ascii="Times New Roman" w:hAnsi="Times New Roman" w:cs="Times New Roman"/>
          <w:sz w:val="28"/>
          <w:szCs w:val="28"/>
        </w:rPr>
      </w:pPr>
      <w:r w:rsidRPr="003B2C50">
        <w:rPr>
          <w:rFonts w:ascii="Times New Roman" w:hAnsi="Times New Roman" w:cs="Times New Roman"/>
          <w:sz w:val="28"/>
          <w:szCs w:val="28"/>
        </w:rPr>
        <w:t>10.</w:t>
      </w:r>
      <w:r w:rsidR="00FA3CF0" w:rsidRPr="003B2C50">
        <w:rPr>
          <w:rFonts w:ascii="Times New Roman" w:hAnsi="Times New Roman" w:cs="Times New Roman"/>
          <w:sz w:val="28"/>
          <w:szCs w:val="28"/>
        </w:rPr>
        <w:t xml:space="preserve"> Bãi bỏ t</w:t>
      </w:r>
      <w:r w:rsidR="00896373" w:rsidRPr="003B2C50">
        <w:rPr>
          <w:rFonts w:ascii="Times New Roman" w:hAnsi="Times New Roman" w:cs="Times New Roman"/>
          <w:sz w:val="28"/>
          <w:szCs w:val="28"/>
        </w:rPr>
        <w:t xml:space="preserve">oàn bộ Nghị quyết 33/2024/NQ-HĐND, ngày 11 tháng 12 năm 2024 của Hội đồng nhân dân Thành phố Hồ Chí Minh về quy định mức thù lao hàng tháng và mức hỗ trợ đối với người được giao nhiệm vụ tư vấn tâm lý, xã hội, quản lý, hỗ trợ các đối tượng cai nghiện tự nguyện tại gia đình, cộng đồng và người bị </w:t>
      </w:r>
      <w:r w:rsidR="00896373" w:rsidRPr="003B2C50">
        <w:rPr>
          <w:rFonts w:ascii="Times New Roman" w:hAnsi="Times New Roman" w:cs="Times New Roman"/>
          <w:sz w:val="28"/>
          <w:szCs w:val="28"/>
        </w:rPr>
        <w:lastRenderedPageBreak/>
        <w:t>quản lý sau cai nghiện ma túy tại cấp xã theo phân công của Chủ tịch Ủy ban nhân dân cấp xã trên địa bàn Thành phố Hồ Chí Minh</w:t>
      </w:r>
      <w:r w:rsidR="00896373" w:rsidRPr="003B2C50">
        <w:rPr>
          <w:rFonts w:ascii="Times New Roman" w:hAnsi="Times New Roman" w:cs="Times New Roman"/>
          <w:i/>
          <w:sz w:val="28"/>
          <w:szCs w:val="28"/>
        </w:rPr>
        <w:t>.</w:t>
      </w:r>
    </w:p>
    <w:p w14:paraId="06270E11" w14:textId="2F8440F4" w:rsidR="00DD6EF7" w:rsidRPr="003B2C50" w:rsidRDefault="00DD6EF7" w:rsidP="00FB3950">
      <w:pPr>
        <w:pBdr>
          <w:bottom w:val="single" w:sz="4" w:space="22" w:color="FFFFFF"/>
        </w:pBdr>
        <w:shd w:val="clear" w:color="auto" w:fill="FFFFFF"/>
        <w:spacing w:before="120" w:after="120" w:line="240" w:lineRule="auto"/>
        <w:ind w:firstLine="720"/>
        <w:jc w:val="both"/>
        <w:rPr>
          <w:rFonts w:ascii="Times New Roman" w:hAnsi="Times New Roman" w:cs="Times New Roman"/>
          <w:b/>
          <w:sz w:val="28"/>
          <w:szCs w:val="28"/>
        </w:rPr>
      </w:pPr>
      <w:r w:rsidRPr="003B2C50">
        <w:rPr>
          <w:rFonts w:ascii="Times New Roman" w:hAnsi="Times New Roman" w:cs="Times New Roman"/>
          <w:b/>
          <w:sz w:val="28"/>
          <w:szCs w:val="28"/>
        </w:rPr>
        <w:t>Điều 1</w:t>
      </w:r>
      <w:r w:rsidR="006E73A5" w:rsidRPr="003B2C50">
        <w:rPr>
          <w:rFonts w:ascii="Times New Roman" w:hAnsi="Times New Roman" w:cs="Times New Roman"/>
          <w:b/>
          <w:sz w:val="28"/>
          <w:szCs w:val="28"/>
        </w:rPr>
        <w:t>1</w:t>
      </w:r>
      <w:r w:rsidRPr="003B2C50">
        <w:rPr>
          <w:rFonts w:ascii="Times New Roman" w:hAnsi="Times New Roman" w:cs="Times New Roman"/>
          <w:b/>
          <w:sz w:val="28"/>
          <w:szCs w:val="28"/>
        </w:rPr>
        <w:t>. Tổ chức thực hiện</w:t>
      </w:r>
    </w:p>
    <w:p w14:paraId="73F1B6D5" w14:textId="77777777" w:rsidR="009227AE" w:rsidRPr="003B2C50" w:rsidRDefault="009227AE"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sz w:val="28"/>
          <w:szCs w:val="28"/>
        </w:rPr>
      </w:pPr>
      <w:r w:rsidRPr="003B2C50">
        <w:rPr>
          <w:rFonts w:ascii="Times New Roman" w:hAnsi="Times New Roman" w:cs="Times New Roman"/>
          <w:bCs/>
          <w:sz w:val="28"/>
          <w:szCs w:val="28"/>
        </w:rPr>
        <w:t xml:space="preserve">1. </w:t>
      </w:r>
      <w:r w:rsidRPr="003B2C50">
        <w:rPr>
          <w:rFonts w:ascii="Times New Roman" w:hAnsi="Times New Roman" w:cs="Times New Roman"/>
          <w:sz w:val="28"/>
          <w:szCs w:val="28"/>
        </w:rPr>
        <w:t>Giao Ủy ban nhân dân Thành phố:</w:t>
      </w:r>
    </w:p>
    <w:p w14:paraId="7EEC0CDE" w14:textId="596BE990" w:rsidR="009227AE" w:rsidRPr="001A6333" w:rsidRDefault="009227AE"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sz w:val="28"/>
          <w:szCs w:val="28"/>
        </w:rPr>
      </w:pPr>
      <w:r w:rsidRPr="003B2C50">
        <w:rPr>
          <w:rFonts w:ascii="Times New Roman" w:hAnsi="Times New Roman" w:cs="Times New Roman"/>
          <w:sz w:val="28"/>
          <w:szCs w:val="28"/>
        </w:rPr>
        <w:t>a) Tổ chức triển khai, hướng dẫn thực hiện Nghị</w:t>
      </w:r>
      <w:r w:rsidRPr="001A6333">
        <w:rPr>
          <w:rFonts w:ascii="Times New Roman" w:hAnsi="Times New Roman" w:cs="Times New Roman"/>
          <w:sz w:val="28"/>
          <w:szCs w:val="28"/>
        </w:rPr>
        <w:t xml:space="preserve"> quyết này, đảm bảo kịp thời, hiệu quả và đúng quy định của pháp luật; định kỳ báo cáo Hội đồng nhân dân Thành phố về kết quả thực hiện.</w:t>
      </w:r>
    </w:p>
    <w:p w14:paraId="40B69B28" w14:textId="1052D46E" w:rsidR="009227AE" w:rsidRPr="001A6333" w:rsidRDefault="009227AE"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b) Rà soát, trình Hội đồng nhân dân Thành phố xem xét, sửa đổi, bổ sung hoặc thay thế Nghị quyết này khi các văn bản quy phạm pháp luật liên quan có thay đổi.</w:t>
      </w:r>
    </w:p>
    <w:p w14:paraId="388C8DA2" w14:textId="58C84986" w:rsidR="00D33FC3" w:rsidRPr="001A6333" w:rsidRDefault="00DD6EF7" w:rsidP="00FB3950">
      <w:pPr>
        <w:pBdr>
          <w:bottom w:val="single" w:sz="4" w:space="22" w:color="FFFFFF"/>
        </w:pBdr>
        <w:shd w:val="clear" w:color="auto" w:fill="FFFFFF"/>
        <w:tabs>
          <w:tab w:val="num" w:pos="720"/>
        </w:tabs>
        <w:spacing w:before="120" w:after="120" w:line="240" w:lineRule="auto"/>
        <w:ind w:firstLine="720"/>
        <w:jc w:val="both"/>
        <w:rPr>
          <w:rFonts w:ascii="Times New Roman" w:hAnsi="Times New Roman" w:cs="Times New Roman"/>
          <w:sz w:val="28"/>
          <w:szCs w:val="28"/>
        </w:rPr>
      </w:pPr>
      <w:r w:rsidRPr="001A6333">
        <w:rPr>
          <w:rFonts w:ascii="Times New Roman" w:hAnsi="Times New Roman" w:cs="Times New Roman"/>
          <w:sz w:val="28"/>
          <w:szCs w:val="28"/>
        </w:rPr>
        <w:t>2</w:t>
      </w:r>
      <w:r w:rsidR="009227AE" w:rsidRPr="001A6333">
        <w:rPr>
          <w:rFonts w:ascii="Times New Roman" w:hAnsi="Times New Roman" w:cs="Times New Roman"/>
          <w:sz w:val="28"/>
          <w:szCs w:val="28"/>
        </w:rPr>
        <w:t>. Giao Thường trực Hội đồng nhân dân Thành phố, các Ban của Hội đồng nhân dân Thành phố, các Tổ đại biểu và đại biểu Hội đồng nhân dân Thành phố giám sát việc thực hiện Nghị quyết.</w:t>
      </w:r>
    </w:p>
    <w:p w14:paraId="06DD450D" w14:textId="77777777" w:rsidR="0045314A" w:rsidRPr="001A6333" w:rsidRDefault="0045314A" w:rsidP="00FB3950">
      <w:pPr>
        <w:pBdr>
          <w:bottom w:val="single" w:sz="4" w:space="22" w:color="FFFFFF"/>
        </w:pBdr>
        <w:shd w:val="clear" w:color="auto" w:fill="FFFFFF"/>
        <w:spacing w:before="120" w:after="120" w:line="240" w:lineRule="auto"/>
        <w:ind w:firstLine="720"/>
        <w:jc w:val="both"/>
        <w:rPr>
          <w:rFonts w:ascii="Times New Roman" w:hAnsi="Times New Roman" w:cs="Times New Roman"/>
          <w:i/>
          <w:sz w:val="28"/>
          <w:szCs w:val="28"/>
          <w:lang w:val="pt-BR"/>
        </w:rPr>
      </w:pPr>
      <w:r w:rsidRPr="001A6333">
        <w:rPr>
          <w:rFonts w:ascii="Times New Roman" w:hAnsi="Times New Roman" w:cs="Times New Roman"/>
          <w:i/>
          <w:sz w:val="28"/>
          <w:szCs w:val="28"/>
        </w:rPr>
        <w:t>Nghị quyết này đã được Hội đồng nhân dân Thành phố Hồ Chí Minh Khóa X, kỳ họp thứ năm thông qua ngày … tháng 11 năm 2025.</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7"/>
      </w:tblGrid>
      <w:tr w:rsidR="0045314A" w:rsidRPr="009227AE" w14:paraId="1D1649ED" w14:textId="77777777" w:rsidTr="00064F1E">
        <w:tc>
          <w:tcPr>
            <w:tcW w:w="5529" w:type="dxa"/>
          </w:tcPr>
          <w:p w14:paraId="71AEC9C7" w14:textId="77777777" w:rsidR="0045314A" w:rsidRPr="009227AE" w:rsidRDefault="0045314A" w:rsidP="00FB3950">
            <w:pPr>
              <w:spacing w:after="0" w:line="240" w:lineRule="auto"/>
              <w:contextualSpacing/>
              <w:jc w:val="both"/>
              <w:rPr>
                <w:rFonts w:ascii="Times New Roman" w:hAnsi="Times New Roman" w:cs="Times New Roman"/>
                <w:b/>
                <w:i/>
                <w:sz w:val="24"/>
                <w:szCs w:val="24"/>
              </w:rPr>
            </w:pPr>
            <w:r w:rsidRPr="009227AE">
              <w:rPr>
                <w:rFonts w:ascii="Times New Roman" w:hAnsi="Times New Roman" w:cs="Times New Roman"/>
                <w:b/>
                <w:i/>
                <w:sz w:val="24"/>
                <w:szCs w:val="24"/>
              </w:rPr>
              <w:t>Nơi nhận:</w:t>
            </w:r>
          </w:p>
          <w:p w14:paraId="597FD120" w14:textId="77777777" w:rsidR="0045314A" w:rsidRPr="009227AE" w:rsidRDefault="0045314A" w:rsidP="00FB3950">
            <w:pPr>
              <w:spacing w:after="0" w:line="240" w:lineRule="auto"/>
              <w:contextualSpacing/>
              <w:rPr>
                <w:rFonts w:ascii="Times New Roman" w:hAnsi="Times New Roman" w:cs="Times New Roman"/>
                <w:b/>
                <w:i/>
              </w:rPr>
            </w:pPr>
            <w:r w:rsidRPr="009227AE">
              <w:rPr>
                <w:rFonts w:ascii="Times New Roman" w:hAnsi="Times New Roman" w:cs="Times New Roman"/>
              </w:rPr>
              <w:t xml:space="preserve">- Ủy ban </w:t>
            </w:r>
            <w:r w:rsidRPr="009227AE">
              <w:rPr>
                <w:rFonts w:ascii="Times New Roman" w:hAnsi="Times New Roman" w:cs="Times New Roman"/>
                <w:lang w:val="pt-BR"/>
              </w:rPr>
              <w:t>T</w:t>
            </w:r>
            <w:r w:rsidRPr="009227AE">
              <w:rPr>
                <w:rFonts w:ascii="Times New Roman" w:hAnsi="Times New Roman" w:cs="Times New Roman"/>
              </w:rPr>
              <w:t>hường vụ Q</w:t>
            </w:r>
            <w:r w:rsidRPr="009227AE">
              <w:rPr>
                <w:rFonts w:ascii="Times New Roman" w:hAnsi="Times New Roman" w:cs="Times New Roman"/>
                <w:lang w:val="pt-BR"/>
              </w:rPr>
              <w:t>uốc hội</w:t>
            </w:r>
            <w:r w:rsidRPr="009227AE">
              <w:rPr>
                <w:rFonts w:ascii="Times New Roman" w:hAnsi="Times New Roman" w:cs="Times New Roman"/>
              </w:rPr>
              <w:t>;</w:t>
            </w:r>
            <w:r w:rsidRPr="009227AE">
              <w:rPr>
                <w:rFonts w:ascii="Times New Roman" w:hAnsi="Times New Roman" w:cs="Times New Roman"/>
              </w:rPr>
              <w:br/>
              <w:t>- Chính phủ;</w:t>
            </w:r>
          </w:p>
          <w:p w14:paraId="17869FF4" w14:textId="73E31833"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xml:space="preserve">- </w:t>
            </w:r>
            <w:r w:rsidR="00B02615">
              <w:rPr>
                <w:rFonts w:ascii="Times New Roman" w:hAnsi="Times New Roman" w:cs="Times New Roman"/>
              </w:rPr>
              <w:t xml:space="preserve">Các </w:t>
            </w:r>
            <w:r w:rsidRPr="009227AE">
              <w:rPr>
                <w:rFonts w:ascii="Times New Roman" w:hAnsi="Times New Roman" w:cs="Times New Roman"/>
              </w:rPr>
              <w:t>Bộ: Nội vụ</w:t>
            </w:r>
            <w:r w:rsidR="00B02615">
              <w:rPr>
                <w:rFonts w:ascii="Times New Roman" w:hAnsi="Times New Roman" w:cs="Times New Roman"/>
              </w:rPr>
              <w:t>,</w:t>
            </w:r>
            <w:r w:rsidRPr="009227AE">
              <w:rPr>
                <w:rFonts w:ascii="Times New Roman" w:hAnsi="Times New Roman" w:cs="Times New Roman"/>
              </w:rPr>
              <w:t xml:space="preserve"> Tài chính</w:t>
            </w:r>
            <w:r w:rsidR="00B02615">
              <w:rPr>
                <w:rFonts w:ascii="Times New Roman" w:hAnsi="Times New Roman" w:cs="Times New Roman"/>
              </w:rPr>
              <w:t>,</w:t>
            </w:r>
            <w:r w:rsidRPr="009227AE">
              <w:rPr>
                <w:rFonts w:ascii="Times New Roman" w:hAnsi="Times New Roman" w:cs="Times New Roman"/>
              </w:rPr>
              <w:t xml:space="preserve"> Công an;</w:t>
            </w:r>
          </w:p>
          <w:p w14:paraId="22B319A0"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Cục Kiểm tra văn bản quy phạm pháp luật – Bộ Tư pháp;</w:t>
            </w:r>
          </w:p>
          <w:p w14:paraId="4BEADBA0"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Thường trực Thành ủy;</w:t>
            </w:r>
          </w:p>
          <w:p w14:paraId="0BF8746D"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Đoàn Đại biểu Quốc hội Thành phố;</w:t>
            </w:r>
          </w:p>
          <w:p w14:paraId="55973145"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Thường trực Hội đồng nhân dân Thành phố;</w:t>
            </w:r>
          </w:p>
          <w:p w14:paraId="2449FC55"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Thường trực Ủy ban nhân dân Thành phố;</w:t>
            </w:r>
          </w:p>
          <w:p w14:paraId="456221AB"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Ban Thường trực Ủy ban MTTQ Thành phố;</w:t>
            </w:r>
            <w:r w:rsidRPr="009227AE">
              <w:rPr>
                <w:rFonts w:ascii="Times New Roman" w:hAnsi="Times New Roman" w:cs="Times New Roman"/>
              </w:rPr>
              <w:br/>
              <w:t>- Đại biểu Hội đồng nhân dân Thành phố;</w:t>
            </w:r>
            <w:r w:rsidRPr="009227AE">
              <w:rPr>
                <w:rFonts w:ascii="Times New Roman" w:hAnsi="Times New Roman" w:cs="Times New Roman"/>
              </w:rPr>
              <w:br/>
              <w:t>- Văn phòng Thành ủy;</w:t>
            </w:r>
          </w:p>
          <w:p w14:paraId="60B28053" w14:textId="77777777"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Văn phòng ĐĐBQH và HĐND Thành phố;</w:t>
            </w:r>
          </w:p>
          <w:p w14:paraId="3AF1DCE0" w14:textId="0AAFAB86" w:rsidR="0045314A" w:rsidRPr="009227AE" w:rsidRDefault="0045314A" w:rsidP="00FB3950">
            <w:pPr>
              <w:spacing w:after="0" w:line="240" w:lineRule="auto"/>
              <w:rPr>
                <w:rFonts w:ascii="Times New Roman" w:hAnsi="Times New Roman" w:cs="Times New Roman"/>
              </w:rPr>
            </w:pPr>
            <w:r w:rsidRPr="009227AE">
              <w:rPr>
                <w:rFonts w:ascii="Times New Roman" w:hAnsi="Times New Roman" w:cs="Times New Roman"/>
              </w:rPr>
              <w:t>- Văn phòng Ủy ban nhân dân Thành phố;</w:t>
            </w:r>
            <w:r w:rsidRPr="009227AE">
              <w:rPr>
                <w:rFonts w:ascii="Times New Roman" w:hAnsi="Times New Roman" w:cs="Times New Roman"/>
              </w:rPr>
              <w:br/>
              <w:t xml:space="preserve">- Các </w:t>
            </w:r>
            <w:r w:rsidR="00B02615">
              <w:rPr>
                <w:rFonts w:ascii="Times New Roman" w:hAnsi="Times New Roman" w:cs="Times New Roman"/>
              </w:rPr>
              <w:t>s</w:t>
            </w:r>
            <w:r w:rsidRPr="009227AE">
              <w:rPr>
                <w:rFonts w:ascii="Times New Roman" w:hAnsi="Times New Roman" w:cs="Times New Roman"/>
              </w:rPr>
              <w:t>ở, ban, ngành Thành phố;</w:t>
            </w:r>
            <w:r w:rsidRPr="009227AE">
              <w:rPr>
                <w:rFonts w:ascii="Times New Roman" w:hAnsi="Times New Roman" w:cs="Times New Roman"/>
              </w:rPr>
              <w:br/>
              <w:t>- Thường trực HĐND, UBND, UBMTTQVN phường, xã, đặc khu Côn Đảo;</w:t>
            </w:r>
            <w:r w:rsidRPr="009227AE">
              <w:rPr>
                <w:rFonts w:ascii="Times New Roman" w:hAnsi="Times New Roman" w:cs="Times New Roman"/>
              </w:rPr>
              <w:br/>
              <w:t>- Trung tâm Thông tin điện tử Thành phố;</w:t>
            </w:r>
            <w:r w:rsidRPr="009227AE">
              <w:rPr>
                <w:rFonts w:ascii="Times New Roman" w:hAnsi="Times New Roman" w:cs="Times New Roman"/>
              </w:rPr>
              <w:br/>
              <w:t>- Lưu: VT</w:t>
            </w:r>
            <w:r w:rsidR="00B02615">
              <w:rPr>
                <w:rFonts w:ascii="Times New Roman" w:hAnsi="Times New Roman" w:cs="Times New Roman"/>
              </w:rPr>
              <w:t>.</w:t>
            </w:r>
          </w:p>
        </w:tc>
        <w:tc>
          <w:tcPr>
            <w:tcW w:w="3827" w:type="dxa"/>
          </w:tcPr>
          <w:p w14:paraId="6BB3465A" w14:textId="77777777" w:rsidR="0045314A" w:rsidRPr="009227AE" w:rsidRDefault="0045314A" w:rsidP="00FB3950">
            <w:pPr>
              <w:spacing w:after="0" w:line="240" w:lineRule="auto"/>
              <w:contextualSpacing/>
              <w:jc w:val="center"/>
              <w:rPr>
                <w:rFonts w:ascii="Times New Roman" w:hAnsi="Times New Roman" w:cs="Times New Roman"/>
                <w:b/>
                <w:sz w:val="28"/>
                <w:szCs w:val="28"/>
              </w:rPr>
            </w:pPr>
            <w:r w:rsidRPr="009227AE">
              <w:rPr>
                <w:rFonts w:ascii="Times New Roman" w:hAnsi="Times New Roman" w:cs="Times New Roman"/>
                <w:b/>
                <w:sz w:val="28"/>
                <w:szCs w:val="28"/>
              </w:rPr>
              <w:t>CHỦ TỊCH</w:t>
            </w:r>
          </w:p>
          <w:p w14:paraId="062D90BD" w14:textId="77777777" w:rsidR="0045314A" w:rsidRPr="009227AE" w:rsidRDefault="0045314A" w:rsidP="00FB3950">
            <w:pPr>
              <w:spacing w:after="0" w:line="240" w:lineRule="auto"/>
              <w:contextualSpacing/>
              <w:jc w:val="both"/>
              <w:rPr>
                <w:rFonts w:ascii="Times New Roman" w:hAnsi="Times New Roman" w:cs="Times New Roman"/>
              </w:rPr>
            </w:pPr>
          </w:p>
        </w:tc>
      </w:tr>
    </w:tbl>
    <w:p w14:paraId="1BF97304" w14:textId="31AD7ECF" w:rsidR="00416A40" w:rsidRDefault="00416A40" w:rsidP="00FB3950">
      <w:pPr>
        <w:spacing w:after="120" w:line="240" w:lineRule="auto"/>
        <w:jc w:val="center"/>
        <w:rPr>
          <w:rFonts w:ascii="Times New Roman" w:hAnsi="Times New Roman" w:cs="Times New Roman"/>
          <w:b/>
          <w:color w:val="000000"/>
          <w:sz w:val="28"/>
          <w:szCs w:val="18"/>
        </w:rPr>
      </w:pPr>
    </w:p>
    <w:p w14:paraId="67E6A27D" w14:textId="77777777" w:rsidR="00416A40" w:rsidRDefault="00416A40" w:rsidP="00FB3950">
      <w:pPr>
        <w:spacing w:after="160" w:line="259" w:lineRule="auto"/>
        <w:rPr>
          <w:rFonts w:ascii="Times New Roman" w:hAnsi="Times New Roman" w:cs="Times New Roman"/>
          <w:b/>
          <w:color w:val="000000"/>
          <w:sz w:val="28"/>
          <w:szCs w:val="18"/>
        </w:rPr>
      </w:pPr>
      <w:r>
        <w:rPr>
          <w:rFonts w:ascii="Times New Roman" w:hAnsi="Times New Roman" w:cs="Times New Roman"/>
          <w:b/>
          <w:color w:val="000000"/>
          <w:sz w:val="28"/>
          <w:szCs w:val="18"/>
        </w:rPr>
        <w:br w:type="page"/>
      </w:r>
    </w:p>
    <w:p w14:paraId="71587943" w14:textId="77777777" w:rsidR="004277F6" w:rsidRDefault="004277F6" w:rsidP="00FB3950">
      <w:pPr>
        <w:spacing w:after="120" w:line="240" w:lineRule="auto"/>
        <w:jc w:val="center"/>
        <w:rPr>
          <w:rFonts w:ascii="Times New Roman" w:hAnsi="Times New Roman" w:cs="Times New Roman"/>
          <w:b/>
          <w:color w:val="000000"/>
          <w:sz w:val="28"/>
          <w:szCs w:val="18"/>
        </w:rPr>
        <w:sectPr w:rsidR="004277F6" w:rsidSect="00F243EC">
          <w:headerReference w:type="default" r:id="rId7"/>
          <w:headerReference w:type="first" r:id="rId8"/>
          <w:type w:val="nextColumn"/>
          <w:pgSz w:w="11906" w:h="16838" w:code="9"/>
          <w:pgMar w:top="1134" w:right="851" w:bottom="1134" w:left="1701" w:header="425" w:footer="720" w:gutter="0"/>
          <w:cols w:space="720"/>
          <w:titlePg/>
          <w:docGrid w:linePitch="360"/>
        </w:sectPr>
      </w:pPr>
    </w:p>
    <w:p w14:paraId="09698F5C" w14:textId="6853C925" w:rsidR="0045314A" w:rsidRDefault="00416A40" w:rsidP="00FB3950">
      <w:pPr>
        <w:spacing w:after="120" w:line="240" w:lineRule="auto"/>
        <w:jc w:val="center"/>
        <w:rPr>
          <w:rFonts w:ascii="Times New Roman" w:hAnsi="Times New Roman" w:cs="Times New Roman"/>
          <w:b/>
          <w:color w:val="000000"/>
          <w:sz w:val="28"/>
          <w:szCs w:val="18"/>
        </w:rPr>
      </w:pPr>
      <w:r>
        <w:rPr>
          <w:rFonts w:ascii="Times New Roman" w:hAnsi="Times New Roman" w:cs="Times New Roman"/>
          <w:b/>
          <w:color w:val="000000"/>
          <w:sz w:val="28"/>
          <w:szCs w:val="18"/>
        </w:rPr>
        <w:lastRenderedPageBreak/>
        <w:t>Phụ lục</w:t>
      </w:r>
    </w:p>
    <w:p w14:paraId="27C525AF" w14:textId="3040580E" w:rsidR="004502B8" w:rsidRDefault="002C4BD8" w:rsidP="00AA21DA">
      <w:pPr>
        <w:spacing w:after="0" w:line="240" w:lineRule="auto"/>
        <w:jc w:val="center"/>
        <w:rPr>
          <w:rFonts w:ascii="Times New Roman Italic" w:hAnsi="Times New Roman Italic" w:cs="Times New Roman"/>
          <w:i/>
          <w:color w:val="000000"/>
          <w:spacing w:val="-2"/>
          <w:sz w:val="28"/>
          <w:szCs w:val="18"/>
        </w:rPr>
      </w:pPr>
      <w:r w:rsidRPr="00B30DAB">
        <w:rPr>
          <w:rFonts w:ascii="Times New Roman Italic" w:hAnsi="Times New Roman Italic" w:cs="Times New Roman"/>
          <w:i/>
          <w:color w:val="000000"/>
          <w:spacing w:val="-2"/>
          <w:sz w:val="28"/>
          <w:szCs w:val="18"/>
        </w:rPr>
        <w:t xml:space="preserve">(Ban hành kèm theo Nghị quyết số </w:t>
      </w:r>
      <w:r w:rsidR="00AA21DA">
        <w:rPr>
          <w:rFonts w:ascii="Times New Roman Italic" w:hAnsi="Times New Roman Italic" w:cs="Times New Roman"/>
          <w:i/>
          <w:color w:val="000000"/>
          <w:spacing w:val="-2"/>
          <w:sz w:val="28"/>
          <w:szCs w:val="18"/>
        </w:rPr>
        <w:t xml:space="preserve">  </w:t>
      </w:r>
      <w:r w:rsidR="004502B8">
        <w:rPr>
          <w:rFonts w:ascii="Times New Roman Italic" w:hAnsi="Times New Roman Italic" w:cs="Times New Roman"/>
          <w:i/>
          <w:color w:val="000000"/>
          <w:spacing w:val="-2"/>
          <w:sz w:val="28"/>
          <w:szCs w:val="18"/>
        </w:rPr>
        <w:t xml:space="preserve">      </w:t>
      </w:r>
      <w:r w:rsidR="00AA21DA">
        <w:rPr>
          <w:rFonts w:ascii="Times New Roman Italic" w:hAnsi="Times New Roman Italic" w:cs="Times New Roman"/>
          <w:i/>
          <w:color w:val="000000"/>
          <w:spacing w:val="-2"/>
          <w:sz w:val="28"/>
          <w:szCs w:val="18"/>
        </w:rPr>
        <w:t xml:space="preserve"> </w:t>
      </w:r>
      <w:r w:rsidRPr="00B30DAB">
        <w:rPr>
          <w:rFonts w:ascii="Times New Roman Italic" w:hAnsi="Times New Roman Italic" w:cs="Times New Roman"/>
          <w:i/>
          <w:color w:val="000000"/>
          <w:spacing w:val="-2"/>
          <w:sz w:val="28"/>
          <w:szCs w:val="18"/>
        </w:rPr>
        <w:t xml:space="preserve">/2025/NQ-HĐND ngày </w:t>
      </w:r>
      <w:r w:rsidR="00AA21DA">
        <w:rPr>
          <w:rFonts w:ascii="Times New Roman Italic" w:hAnsi="Times New Roman Italic" w:cs="Times New Roman"/>
          <w:i/>
          <w:color w:val="000000"/>
          <w:spacing w:val="-2"/>
          <w:sz w:val="28"/>
          <w:szCs w:val="18"/>
        </w:rPr>
        <w:t xml:space="preserve">  </w:t>
      </w:r>
      <w:r w:rsidRPr="00B30DAB">
        <w:rPr>
          <w:rFonts w:ascii="Times New Roman Italic" w:hAnsi="Times New Roman Italic" w:cs="Times New Roman"/>
          <w:i/>
          <w:color w:val="000000"/>
          <w:spacing w:val="-2"/>
          <w:sz w:val="28"/>
          <w:szCs w:val="18"/>
        </w:rPr>
        <w:t xml:space="preserve"> tháng </w:t>
      </w:r>
      <w:r w:rsidR="00AA21DA">
        <w:rPr>
          <w:rFonts w:ascii="Times New Roman Italic" w:hAnsi="Times New Roman Italic" w:cs="Times New Roman"/>
          <w:i/>
          <w:color w:val="000000"/>
          <w:spacing w:val="-2"/>
          <w:sz w:val="28"/>
          <w:szCs w:val="18"/>
        </w:rPr>
        <w:t xml:space="preserve">  </w:t>
      </w:r>
      <w:r w:rsidRPr="00B30DAB">
        <w:rPr>
          <w:rFonts w:ascii="Times New Roman Italic" w:hAnsi="Times New Roman Italic" w:cs="Times New Roman"/>
          <w:i/>
          <w:color w:val="000000"/>
          <w:spacing w:val="-2"/>
          <w:sz w:val="28"/>
          <w:szCs w:val="18"/>
        </w:rPr>
        <w:t xml:space="preserve"> năm 2025</w:t>
      </w:r>
    </w:p>
    <w:p w14:paraId="412C5838" w14:textId="6FBC5992" w:rsidR="002C4BD8" w:rsidRDefault="002C4BD8" w:rsidP="00AA21DA">
      <w:pPr>
        <w:spacing w:after="0" w:line="240" w:lineRule="auto"/>
        <w:jc w:val="center"/>
        <w:rPr>
          <w:rFonts w:ascii="Times New Roman Italic" w:hAnsi="Times New Roman Italic" w:cs="Times New Roman"/>
          <w:i/>
          <w:color w:val="000000"/>
          <w:spacing w:val="-2"/>
          <w:sz w:val="28"/>
          <w:szCs w:val="18"/>
        </w:rPr>
      </w:pPr>
      <w:r w:rsidRPr="00B30DAB">
        <w:rPr>
          <w:rFonts w:ascii="Times New Roman Italic" w:hAnsi="Times New Roman Italic" w:cs="Times New Roman"/>
          <w:i/>
          <w:color w:val="000000"/>
          <w:spacing w:val="-2"/>
          <w:sz w:val="28"/>
          <w:szCs w:val="18"/>
        </w:rPr>
        <w:t>của Hội đồng nhân dân Thành phố Hồ Chí Minh</w:t>
      </w:r>
      <w:r>
        <w:rPr>
          <w:rFonts w:ascii="Times New Roman Italic" w:hAnsi="Times New Roman Italic" w:cs="Times New Roman"/>
          <w:i/>
          <w:color w:val="000000"/>
          <w:spacing w:val="-2"/>
          <w:sz w:val="28"/>
          <w:szCs w:val="18"/>
        </w:rPr>
        <w:t>)</w:t>
      </w:r>
    </w:p>
    <w:p w14:paraId="17A36C6F" w14:textId="77777777" w:rsidR="004B7D61" w:rsidRDefault="004B7D61" w:rsidP="00FB3950">
      <w:pPr>
        <w:spacing w:after="0" w:line="240" w:lineRule="auto"/>
        <w:jc w:val="center"/>
        <w:rPr>
          <w:rFonts w:ascii="Times New Roman" w:hAnsi="Times New Roman" w:cs="Times New Roman"/>
          <w:b/>
          <w:color w:val="000000"/>
          <w:sz w:val="28"/>
          <w:szCs w:val="18"/>
        </w:rPr>
      </w:pPr>
    </w:p>
    <w:tbl>
      <w:tblPr>
        <w:tblStyle w:val="TableGrid"/>
        <w:tblW w:w="4953" w:type="pct"/>
        <w:tblLook w:val="04A0" w:firstRow="1" w:lastRow="0" w:firstColumn="1" w:lastColumn="0" w:noHBand="0" w:noVBand="1"/>
      </w:tblPr>
      <w:tblGrid>
        <w:gridCol w:w="8923"/>
        <w:gridCol w:w="5530"/>
      </w:tblGrid>
      <w:tr w:rsidR="004277F6" w:rsidRPr="00D05C33" w14:paraId="02DCEDBF" w14:textId="77777777" w:rsidTr="00A47B48">
        <w:trPr>
          <w:cantSplit/>
          <w:trHeight w:val="20"/>
          <w:tblHeader/>
        </w:trPr>
        <w:tc>
          <w:tcPr>
            <w:tcW w:w="3087" w:type="pct"/>
          </w:tcPr>
          <w:p w14:paraId="18065FA7" w14:textId="78B6E393" w:rsidR="004277F6" w:rsidRPr="00D05C33" w:rsidRDefault="004B7D61" w:rsidP="00FB3950">
            <w:pPr>
              <w:spacing w:after="0" w:line="240" w:lineRule="auto"/>
              <w:ind w:firstLine="317"/>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18"/>
              </w:rPr>
              <w:tab/>
            </w:r>
            <w:r w:rsidR="004277F6" w:rsidRPr="00D05C33">
              <w:rPr>
                <w:rFonts w:ascii="Times New Roman" w:hAnsi="Times New Roman" w:cs="Times New Roman"/>
                <w:b/>
                <w:color w:val="000000"/>
                <w:sz w:val="28"/>
                <w:szCs w:val="28"/>
              </w:rPr>
              <w:t>Nội dung, mức chi</w:t>
            </w:r>
          </w:p>
        </w:tc>
        <w:tc>
          <w:tcPr>
            <w:tcW w:w="1913" w:type="pct"/>
          </w:tcPr>
          <w:p w14:paraId="479038B9" w14:textId="62A6109E" w:rsidR="004277F6" w:rsidRPr="00D05C33" w:rsidRDefault="004277F6" w:rsidP="00FB3950">
            <w:pPr>
              <w:spacing w:after="0" w:line="240" w:lineRule="auto"/>
              <w:ind w:firstLine="323"/>
              <w:contextualSpacing/>
              <w:jc w:val="center"/>
              <w:rPr>
                <w:rFonts w:ascii="Times New Roman" w:hAnsi="Times New Roman" w:cs="Times New Roman"/>
                <w:b/>
                <w:color w:val="000000"/>
                <w:sz w:val="28"/>
                <w:szCs w:val="28"/>
              </w:rPr>
            </w:pPr>
            <w:r w:rsidRPr="00D05C33">
              <w:rPr>
                <w:rFonts w:ascii="Times New Roman" w:hAnsi="Times New Roman" w:cs="Times New Roman"/>
                <w:b/>
                <w:color w:val="000000"/>
                <w:sz w:val="28"/>
                <w:szCs w:val="28"/>
              </w:rPr>
              <w:t xml:space="preserve">Đơn vị, địa phương được </w:t>
            </w:r>
            <w:r w:rsidR="00A47B48">
              <w:rPr>
                <w:rFonts w:ascii="Times New Roman" w:hAnsi="Times New Roman" w:cs="Times New Roman"/>
                <w:b/>
                <w:color w:val="000000"/>
                <w:sz w:val="28"/>
                <w:szCs w:val="28"/>
              </w:rPr>
              <w:t>áp dụng</w:t>
            </w:r>
          </w:p>
        </w:tc>
      </w:tr>
      <w:tr w:rsidR="004277F6" w:rsidRPr="00D05C33" w14:paraId="562E5ADC" w14:textId="77777777" w:rsidTr="00A47B48">
        <w:trPr>
          <w:trHeight w:val="20"/>
        </w:trPr>
        <w:tc>
          <w:tcPr>
            <w:tcW w:w="3087" w:type="pct"/>
          </w:tcPr>
          <w:p w14:paraId="426AA2E7" w14:textId="754FFA85"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1. </w:t>
            </w:r>
            <w:r w:rsidR="00F46A11"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đối với người nghiện ma túy bị áp dụng biện pháp đưa vào cơ sở cai nghiện bắt buộc công lập của Thành phố Hồ Chí Minh:</w:t>
            </w:r>
          </w:p>
          <w:p w14:paraId="0FF84A58" w14:textId="06FBAD52"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a)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đưa người cai nghiện bắt buộc chấp hành xong quyết định đưa vào cơ sở cai nghiện bắt buộc trở về địa phương nơi cư trú (nếu họ không có): 01 bộ quần, áo, thanh toán theo chi phí thực tế phát sinh và hóa đơn chứng từ hợp pháp, tối đa không vượt mức 300.000 đồng/người.</w:t>
            </w:r>
          </w:p>
          <w:p w14:paraId="4348BDF4" w14:textId="6E42911D"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b)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học văn hóa cho người cai nghiện bắt buộc từ 18 tuổi trở lên: Thanh toán theo chi phí thực tế phát sinh và hóa đơn, chứng từ hợp pháp; nội dung chi theo quy định tại khoản 4 Điều 5 Thông tư số 62/2022/TT-BTC của Bộ Tài chính.</w:t>
            </w:r>
          </w:p>
          <w:p w14:paraId="58AC0504" w14:textId="7F99E9DF"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2.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đối với người nghiện ma túy trong thời gian chờ lập hồ sơ đề nghị áp dụng biện pháp đưa vào cơ sở cai nghiện bắt buộc của Thành phố Hồ Chí Minh:</w:t>
            </w:r>
          </w:p>
          <w:p w14:paraId="5A496050" w14:textId="56FE7DC6"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Hỗ trợ chi phí mai táng đối với trường hợp chết tại cơ sở mà không có thân nhân hoặc thân nhân không đến nhận trong vòng 24 giờ kể từ thời điểm đối tượng chết: mức hỗ trợ tối thiểu bằng 20 lần mức chuẩn trợ giúp xã hội theo Nghị định số 20/2021/NĐ-CP ngày 15 tháng 3 năm 2021 quy định về chính sách trợ giúp xã hội đối với đối tượng bảo trợ xã hội, thanh toán theo chi phí thực tế phát sinh và hóa đơn, chứng từ hợp pháp.</w:t>
            </w:r>
          </w:p>
          <w:p w14:paraId="569A3DDE" w14:textId="69ACC18A" w:rsidR="004277F6" w:rsidRPr="00D05C33" w:rsidRDefault="009249D1"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3</w:t>
            </w:r>
            <w:r w:rsidR="004277F6" w:rsidRPr="00D05C33">
              <w:rPr>
                <w:rFonts w:ascii="Times New Roman" w:eastAsia="Times New Roman" w:hAnsi="Times New Roman" w:cs="Times New Roman"/>
                <w:color w:val="000000"/>
                <w:sz w:val="28"/>
                <w:szCs w:val="28"/>
              </w:rPr>
              <w:t xml:space="preserve">. </w:t>
            </w:r>
            <w:r w:rsidR="00D05C33" w:rsidRPr="00D05C33">
              <w:rPr>
                <w:rFonts w:ascii="Times New Roman" w:eastAsia="Times New Roman" w:hAnsi="Times New Roman" w:cs="Times New Roman"/>
                <w:color w:val="000000"/>
                <w:sz w:val="28"/>
                <w:szCs w:val="28"/>
              </w:rPr>
              <w:t>Mức h</w:t>
            </w:r>
            <w:r w:rsidR="004277F6" w:rsidRPr="00D05C33">
              <w:rPr>
                <w:rFonts w:ascii="Times New Roman" w:eastAsia="Times New Roman" w:hAnsi="Times New Roman" w:cs="Times New Roman"/>
                <w:color w:val="000000"/>
                <w:sz w:val="28"/>
                <w:szCs w:val="28"/>
              </w:rPr>
              <w:t>ỗ trợ đối với người sử dụng trái phép chất ma túy bị tạm giữ theo thủ tục hành chính để xác định tình trạng nghiện ma túy tại cơ sở cai nghiện ma túy công lập của Thành phố Hồ Chí Minh:</w:t>
            </w:r>
          </w:p>
          <w:p w14:paraId="764454E6" w14:textId="0A0012B1"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lastRenderedPageBreak/>
              <w:t xml:space="preserve">a)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tiền ăn h</w:t>
            </w:r>
            <w:r w:rsidR="009249D1" w:rsidRPr="00D05C33">
              <w:rPr>
                <w:rFonts w:ascii="Times New Roman" w:eastAsia="Times New Roman" w:hAnsi="Times New Roman" w:cs="Times New Roman"/>
                <w:color w:val="000000"/>
                <w:sz w:val="28"/>
                <w:szCs w:val="28"/>
              </w:rPr>
              <w:t>ằ</w:t>
            </w:r>
            <w:r w:rsidRPr="00D05C33">
              <w:rPr>
                <w:rFonts w:ascii="Times New Roman" w:eastAsia="Times New Roman" w:hAnsi="Times New Roman" w:cs="Times New Roman"/>
                <w:color w:val="000000"/>
                <w:sz w:val="28"/>
                <w:szCs w:val="28"/>
              </w:rPr>
              <w:t>ng ngày là 0,027 mức lương cơ sở hiện hành. Mức hỗ trợ tiền ăn thêm trong Ngày Lễ, tết Dương lịch (nếu có) không quá 03 lần tiêu chuẩn ngày thường; mức hỗ trợ tiền ăn thêm các ngày tết Nguyên đán (nếu có) không quá 05 lần tiêu chuẩn ngày thường; chế độ ăn trong những ngày bị ốm theo chỉ định của nhân viên y tế điều trị, nhưng không thấp hơn 03 lần tiêu chuẩn ngày thường.</w:t>
            </w:r>
          </w:p>
          <w:p w14:paraId="3679E0EF" w14:textId="03D560A1"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b)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tiền điện, nước sinh hoạt: mức chi theo thực tế phát sinh và hóa đơn, chứng từ hợp pháp, nhưng tối đa không vượt mức 100.000 đồng/người/tháng.</w:t>
            </w:r>
          </w:p>
          <w:p w14:paraId="16FBBCC0" w14:textId="62B14CC9" w:rsidR="009249D1"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c)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tiền chăn, màn, chiếu gối, quần áo, đồ dùng sinh hoạt cá nhân và băng vệ sinh đối với nữ: mức chi theo chi phí thực tế phát sinh và hóa đơn, chứng từ hợp pháp, nhưng tối đa không vượt mức 700.000 đồng/người/lần.</w:t>
            </w:r>
          </w:p>
          <w:p w14:paraId="34198E7F" w14:textId="7A6BB28D" w:rsidR="004277F6" w:rsidRPr="00D05C33" w:rsidRDefault="004277F6"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 xml:space="preserve">d) </w:t>
            </w:r>
            <w:r w:rsidR="00D05C33" w:rsidRPr="00D05C33">
              <w:rPr>
                <w:rFonts w:ascii="Times New Roman" w:eastAsia="Times New Roman" w:hAnsi="Times New Roman" w:cs="Times New Roman"/>
                <w:color w:val="000000"/>
                <w:sz w:val="28"/>
                <w:szCs w:val="28"/>
              </w:rPr>
              <w:t>Mức h</w:t>
            </w:r>
            <w:r w:rsidRPr="00D05C33">
              <w:rPr>
                <w:rFonts w:ascii="Times New Roman" w:eastAsia="Times New Roman" w:hAnsi="Times New Roman" w:cs="Times New Roman"/>
                <w:color w:val="000000"/>
                <w:sz w:val="28"/>
                <w:szCs w:val="28"/>
              </w:rPr>
              <w:t>ỗ trợ tiền thuốc cắt cơn, giải độc, điều trị rối loạn tâm thần và điều trị các bệnh cơ hội khác (nếu có) theo theo hướng dẫn chuyên môn của Bộ Y tế: Mức chi theo giá dịch vụ khám bệnh, chữa bệnh hiện hành do cơ quan có thẩm quyền quyết định đối với cơ sở</w:t>
            </w:r>
            <w:r w:rsidR="009249D1" w:rsidRPr="00D05C33">
              <w:rPr>
                <w:rFonts w:ascii="Times New Roman" w:eastAsia="Times New Roman" w:hAnsi="Times New Roman" w:cs="Times New Roman"/>
                <w:color w:val="000000"/>
                <w:sz w:val="28"/>
                <w:szCs w:val="28"/>
              </w:rPr>
              <w:t xml:space="preserve"> khám bệnh, chữa bệnh công lập.</w:t>
            </w:r>
          </w:p>
          <w:p w14:paraId="3E6DFF7C" w14:textId="5CADB7CD" w:rsidR="009249D1" w:rsidRPr="00D05C33" w:rsidRDefault="009249D1" w:rsidP="004502B8">
            <w:pPr>
              <w:pBdr>
                <w:bottom w:val="single" w:sz="4" w:space="22" w:color="FFFFFF"/>
              </w:pBdr>
              <w:shd w:val="clear" w:color="auto" w:fill="FFFFFF"/>
              <w:spacing w:before="120" w:after="120" w:line="240" w:lineRule="auto"/>
              <w:jc w:val="both"/>
              <w:rPr>
                <w:rFonts w:ascii="Times New Roman" w:hAnsi="Times New Roman" w:cs="Times New Roman"/>
                <w:sz w:val="28"/>
                <w:szCs w:val="28"/>
              </w:rPr>
            </w:pPr>
            <w:r w:rsidRPr="00D05C33">
              <w:rPr>
                <w:rFonts w:ascii="Times New Roman" w:hAnsi="Times New Roman" w:cs="Times New Roman"/>
                <w:sz w:val="28"/>
                <w:szCs w:val="28"/>
              </w:rPr>
              <w:t xml:space="preserve">4. </w:t>
            </w:r>
            <w:r w:rsidR="00F46A11" w:rsidRPr="00D05C33">
              <w:rPr>
                <w:rFonts w:ascii="Times New Roman" w:hAnsi="Times New Roman" w:cs="Times New Roman"/>
                <w:sz w:val="28"/>
                <w:szCs w:val="28"/>
              </w:rPr>
              <w:t>Mức hỗ trợ</w:t>
            </w:r>
            <w:r w:rsidRPr="00D05C33">
              <w:rPr>
                <w:rFonts w:ascii="Times New Roman" w:hAnsi="Times New Roman" w:cs="Times New Roman"/>
                <w:sz w:val="28"/>
                <w:szCs w:val="28"/>
              </w:rPr>
              <w:t xml:space="preserve"> thù lao hằng tháng đối với người được giao nhiệm vụ tư vấn tâm lý, xã hội, quản lý, hỗ trợ người cai nhiện ma túy tự nguyện tại gia đình, cộng đồng tại cấp xã theo sự phân công của Chủ tịch Ủy ban nhân dân cấp xã: mức chi 0,6 lần mức lương cơ sở hiện hành/người/tháng.</w:t>
            </w:r>
          </w:p>
          <w:p w14:paraId="57439D13" w14:textId="2168BE9E" w:rsidR="009249D1" w:rsidRPr="00D05C33" w:rsidRDefault="009249D1" w:rsidP="004502B8">
            <w:pPr>
              <w:pBdr>
                <w:bottom w:val="single" w:sz="4" w:space="22" w:color="FFFFFF"/>
              </w:pBdr>
              <w:shd w:val="clear" w:color="auto" w:fill="FFFFFF"/>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sz w:val="28"/>
                <w:szCs w:val="28"/>
              </w:rPr>
              <w:t xml:space="preserve">5. </w:t>
            </w:r>
            <w:r w:rsidR="00F46A11" w:rsidRPr="00D05C33">
              <w:rPr>
                <w:rFonts w:ascii="Times New Roman" w:hAnsi="Times New Roman" w:cs="Times New Roman"/>
                <w:sz w:val="28"/>
                <w:szCs w:val="28"/>
              </w:rPr>
              <w:t>Mức</w:t>
            </w:r>
            <w:r w:rsidRPr="00D05C33">
              <w:rPr>
                <w:rFonts w:ascii="Times New Roman" w:hAnsi="Times New Roman" w:cs="Times New Roman"/>
                <w:sz w:val="28"/>
                <w:szCs w:val="28"/>
              </w:rPr>
              <w:t xml:space="preserve"> hỗ trợ cho người được giao nhiệm vụ tư vấn tâm lý, xã hội, quản lý hỗ trợ người bị quản lý sau cai nghiện ma túy tại cấp xã theo phân công của Chủ tịch Ủy ban nhân dân cấp xã: mức chi 0,6 lần mức lương cơ sở hiện hành/người/tháng.</w:t>
            </w:r>
          </w:p>
        </w:tc>
        <w:tc>
          <w:tcPr>
            <w:tcW w:w="1913" w:type="pct"/>
          </w:tcPr>
          <w:p w14:paraId="60F14CD0" w14:textId="719E5B30" w:rsidR="004277F6" w:rsidRPr="00D05C33" w:rsidRDefault="004277F6" w:rsidP="004502B8">
            <w:pPr>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color w:val="000000"/>
                <w:sz w:val="28"/>
                <w:szCs w:val="28"/>
              </w:rPr>
              <w:lastRenderedPageBreak/>
              <w:t xml:space="preserve">- </w:t>
            </w:r>
            <w:r w:rsidR="004502B8">
              <w:rPr>
                <w:rFonts w:ascii="Times New Roman" w:hAnsi="Times New Roman" w:cs="Times New Roman"/>
                <w:color w:val="000000"/>
                <w:sz w:val="28"/>
                <w:szCs w:val="28"/>
              </w:rPr>
              <w:t>Các p</w:t>
            </w:r>
            <w:r w:rsidRPr="00D05C33">
              <w:rPr>
                <w:rFonts w:ascii="Times New Roman" w:hAnsi="Times New Roman" w:cs="Times New Roman"/>
                <w:color w:val="000000"/>
                <w:sz w:val="28"/>
                <w:szCs w:val="28"/>
              </w:rPr>
              <w:t>hường</w:t>
            </w:r>
            <w:r w:rsidR="004502B8">
              <w:rPr>
                <w:rFonts w:ascii="Times New Roman" w:hAnsi="Times New Roman" w:cs="Times New Roman"/>
                <w:color w:val="000000"/>
                <w:sz w:val="28"/>
                <w:szCs w:val="28"/>
              </w:rPr>
              <w:t>:</w:t>
            </w:r>
            <w:r w:rsidRPr="00D05C33">
              <w:rPr>
                <w:rFonts w:ascii="Times New Roman" w:hAnsi="Times New Roman" w:cs="Times New Roman"/>
                <w:color w:val="000000"/>
                <w:sz w:val="28"/>
                <w:szCs w:val="28"/>
              </w:rPr>
              <w:t xml:space="preserve"> Sài Gòn, Cầu Ông Lãnh, Tân Định, Bến Thành,</w:t>
            </w:r>
            <w:r w:rsidRPr="00D05C33">
              <w:rPr>
                <w:rFonts w:ascii="Times New Roman" w:hAnsi="Times New Roman" w:cs="Times New Roman"/>
                <w:color w:val="000000"/>
                <w:sz w:val="28"/>
                <w:szCs w:val="28"/>
                <w:lang w:val="vi-VN"/>
              </w:rPr>
              <w:t xml:space="preserve"> </w:t>
            </w:r>
            <w:r w:rsidRPr="00D05C33">
              <w:rPr>
                <w:rFonts w:ascii="Times New Roman" w:hAnsi="Times New Roman" w:cs="Times New Roman"/>
                <w:color w:val="000000"/>
                <w:sz w:val="28"/>
                <w:szCs w:val="28"/>
              </w:rPr>
              <w:t>Nhiêu Lộc, Bàn Cờ, Xuân Hòa</w:t>
            </w:r>
            <w:r w:rsidRPr="00D05C33">
              <w:rPr>
                <w:rFonts w:ascii="Times New Roman" w:hAnsi="Times New Roman" w:cs="Times New Roman"/>
                <w:color w:val="000000"/>
                <w:sz w:val="28"/>
                <w:szCs w:val="28"/>
                <w:lang w:val="vi-VN"/>
              </w:rPr>
              <w:t xml:space="preserve">, </w:t>
            </w:r>
            <w:r w:rsidRPr="00D05C33">
              <w:rPr>
                <w:rFonts w:ascii="Times New Roman" w:hAnsi="Times New Roman" w:cs="Times New Roman"/>
                <w:color w:val="000000"/>
                <w:sz w:val="28"/>
                <w:szCs w:val="28"/>
              </w:rPr>
              <w:t>Xóm Chiếu, Khánh Hội, Vĩnh Hội</w:t>
            </w:r>
            <w:r w:rsidRPr="00D05C33">
              <w:rPr>
                <w:rFonts w:ascii="Times New Roman" w:hAnsi="Times New Roman" w:cs="Times New Roman"/>
                <w:color w:val="000000"/>
                <w:sz w:val="28"/>
                <w:szCs w:val="28"/>
                <w:lang w:val="vi-VN"/>
              </w:rPr>
              <w:t xml:space="preserve">, </w:t>
            </w:r>
            <w:r w:rsidRPr="00D05C33">
              <w:rPr>
                <w:rFonts w:ascii="Times New Roman" w:hAnsi="Times New Roman" w:cs="Times New Roman"/>
                <w:color w:val="000000"/>
                <w:sz w:val="28"/>
                <w:szCs w:val="28"/>
              </w:rPr>
              <w:t>Chợ Quán, Chợ Lớn, An Đông</w:t>
            </w:r>
            <w:r w:rsidRPr="00D05C33">
              <w:rPr>
                <w:rFonts w:ascii="Times New Roman" w:hAnsi="Times New Roman" w:cs="Times New Roman"/>
                <w:color w:val="000000"/>
                <w:sz w:val="28"/>
                <w:szCs w:val="28"/>
                <w:lang w:val="vi-VN"/>
              </w:rPr>
              <w:t xml:space="preserve">, </w:t>
            </w:r>
            <w:r w:rsidRPr="00D05C33">
              <w:rPr>
                <w:rFonts w:ascii="Times New Roman" w:hAnsi="Times New Roman" w:cs="Times New Roman"/>
                <w:color w:val="000000"/>
                <w:sz w:val="28"/>
                <w:szCs w:val="28"/>
              </w:rPr>
              <w:t xml:space="preserve">Bình Tây, Bình Tiên, Bình Phú, Phú Lâm, Tân Sơn, Diên Hồng, Hòa Hưng, Vườn Lài, Bình Thới, Hòa Bình, Minh Phụng, Phú Thọ, Thới An, Tân Thới Hiệp, An Phú Đông, Đông Hưng Thuận, Trung Mỹ Tây, </w:t>
            </w:r>
            <w:r w:rsidRPr="00D05C33">
              <w:rPr>
                <w:rFonts w:ascii="Times New Roman" w:hAnsi="Times New Roman" w:cs="Times New Roman"/>
                <w:color w:val="000000"/>
                <w:sz w:val="28"/>
                <w:szCs w:val="28"/>
                <w:lang w:val="vi-VN"/>
              </w:rPr>
              <w:t>Bình Tân</w:t>
            </w:r>
            <w:r w:rsidRPr="00D05C33">
              <w:rPr>
                <w:rFonts w:ascii="Times New Roman" w:hAnsi="Times New Roman" w:cs="Times New Roman"/>
                <w:color w:val="000000"/>
                <w:sz w:val="28"/>
                <w:szCs w:val="28"/>
              </w:rPr>
              <w:t>, Bình Trị Đông, Bình Hưng Hòa, An Lạc, Tân Tạo, Tân Phú, Phú Thọ Hòa, Phú Thạnh, Tân Sơn Nhì, Tây Thạnh</w:t>
            </w:r>
            <w:r w:rsidRPr="00D05C33">
              <w:rPr>
                <w:rFonts w:ascii="Times New Roman" w:hAnsi="Times New Roman" w:cs="Times New Roman"/>
                <w:color w:val="000000"/>
                <w:sz w:val="28"/>
                <w:szCs w:val="28"/>
                <w:lang w:val="vi-VN"/>
              </w:rPr>
              <w:t xml:space="preserve">, Tân Bình, </w:t>
            </w:r>
            <w:r w:rsidRPr="00D05C33">
              <w:rPr>
                <w:rFonts w:ascii="Times New Roman" w:hAnsi="Times New Roman" w:cs="Times New Roman"/>
                <w:color w:val="000000"/>
                <w:sz w:val="28"/>
                <w:szCs w:val="28"/>
              </w:rPr>
              <w:t xml:space="preserve">Tân Sơn Nhất, Bảy Hiền, Tân Sơn Hòa, Tân Hòa, </w:t>
            </w:r>
            <w:r w:rsidRPr="00D05C33">
              <w:rPr>
                <w:rFonts w:ascii="Times New Roman" w:hAnsi="Times New Roman" w:cs="Times New Roman"/>
                <w:color w:val="000000"/>
                <w:sz w:val="28"/>
                <w:szCs w:val="28"/>
                <w:lang w:val="vi-VN"/>
              </w:rPr>
              <w:t xml:space="preserve">Phú Nhuận, </w:t>
            </w:r>
            <w:r w:rsidRPr="00D05C33">
              <w:rPr>
                <w:rFonts w:ascii="Times New Roman" w:hAnsi="Times New Roman" w:cs="Times New Roman"/>
                <w:color w:val="000000"/>
                <w:sz w:val="28"/>
                <w:szCs w:val="28"/>
              </w:rPr>
              <w:t xml:space="preserve">Đức Nhuận, Cầu Kiệu, Thạnh Mỹ Tây, </w:t>
            </w:r>
            <w:r w:rsidRPr="00D05C33">
              <w:rPr>
                <w:rFonts w:ascii="Times New Roman" w:hAnsi="Times New Roman" w:cs="Times New Roman"/>
                <w:color w:val="000000"/>
                <w:sz w:val="28"/>
                <w:szCs w:val="28"/>
                <w:lang w:val="vi-VN"/>
              </w:rPr>
              <w:t xml:space="preserve">Bình Thạnh, </w:t>
            </w:r>
            <w:r w:rsidRPr="00D05C33">
              <w:rPr>
                <w:rFonts w:ascii="Times New Roman" w:hAnsi="Times New Roman" w:cs="Times New Roman"/>
                <w:color w:val="000000"/>
                <w:sz w:val="28"/>
                <w:szCs w:val="28"/>
              </w:rPr>
              <w:t>Bình Lợi Trung, Bình Quới, Gia Định, Thủ Đức, Long Phước, An Khánh, Hiệp Bình, Tăng Nhơn Phú, Bình Trưng, Phước Long, Linh Xuân, Cát Lái, Long Trường, Long Bình, Tam Bình, Tân Thuận, Tân Hưng, Tân Mỹ, Phú Thuận, Chánh Hưng, Phú Thuận, Bình Đông,</w:t>
            </w:r>
            <w:r w:rsidRPr="00D05C33">
              <w:rPr>
                <w:rFonts w:ascii="Times New Roman" w:hAnsi="Times New Roman" w:cs="Times New Roman"/>
                <w:color w:val="000000"/>
                <w:sz w:val="28"/>
                <w:szCs w:val="28"/>
                <w:lang w:val="vi-VN"/>
              </w:rPr>
              <w:t xml:space="preserve"> Gò Vấp</w:t>
            </w:r>
            <w:r w:rsidRPr="00D05C33">
              <w:rPr>
                <w:rFonts w:ascii="Times New Roman" w:hAnsi="Times New Roman" w:cs="Times New Roman"/>
                <w:color w:val="000000"/>
                <w:sz w:val="28"/>
                <w:szCs w:val="28"/>
              </w:rPr>
              <w:t>, An Nhơn, Hạnh Thông, An Hội Đông, An Hội Tây, Thông Tây Hội;</w:t>
            </w:r>
          </w:p>
          <w:p w14:paraId="77DED5DC" w14:textId="77777777" w:rsidR="004277F6" w:rsidRPr="00D05C33" w:rsidRDefault="004277F6" w:rsidP="004502B8">
            <w:pPr>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color w:val="000000"/>
                <w:sz w:val="28"/>
                <w:szCs w:val="28"/>
              </w:rPr>
              <w:t>-  Xã</w:t>
            </w:r>
            <w:r w:rsidRPr="00D05C33">
              <w:rPr>
                <w:rFonts w:ascii="Times New Roman" w:hAnsi="Times New Roman" w:cs="Times New Roman"/>
                <w:color w:val="000000"/>
                <w:sz w:val="28"/>
                <w:szCs w:val="28"/>
                <w:lang w:val="vi-VN"/>
              </w:rPr>
              <w:t xml:space="preserve"> Bình Chánh</w:t>
            </w:r>
            <w:r w:rsidRPr="00D05C33">
              <w:rPr>
                <w:rFonts w:ascii="Times New Roman" w:hAnsi="Times New Roman" w:cs="Times New Roman"/>
                <w:color w:val="000000"/>
                <w:sz w:val="28"/>
                <w:szCs w:val="28"/>
              </w:rPr>
              <w:t xml:space="preserve">, Tân Nhựt, Bình Hưng, Bình Lợi, Vĩnh Lộc, Tân Vĩnh Lộc, Hưng Long, </w:t>
            </w:r>
            <w:r w:rsidRPr="00D05C33">
              <w:rPr>
                <w:rFonts w:ascii="Times New Roman" w:hAnsi="Times New Roman" w:cs="Times New Roman"/>
                <w:color w:val="000000"/>
                <w:sz w:val="28"/>
                <w:szCs w:val="28"/>
                <w:lang w:val="vi-VN"/>
              </w:rPr>
              <w:t xml:space="preserve">Củ Chi, </w:t>
            </w:r>
            <w:r w:rsidRPr="00D05C33">
              <w:rPr>
                <w:rFonts w:ascii="Times New Roman" w:hAnsi="Times New Roman" w:cs="Times New Roman"/>
                <w:color w:val="000000"/>
                <w:sz w:val="28"/>
                <w:szCs w:val="28"/>
              </w:rPr>
              <w:t xml:space="preserve">Thái Mỹ, Bình Mỹ, Phú Hòa Đông, Nhuận </w:t>
            </w:r>
            <w:r w:rsidRPr="00D05C33">
              <w:rPr>
                <w:rFonts w:ascii="Times New Roman" w:hAnsi="Times New Roman" w:cs="Times New Roman"/>
                <w:color w:val="000000"/>
                <w:sz w:val="28"/>
                <w:szCs w:val="28"/>
              </w:rPr>
              <w:lastRenderedPageBreak/>
              <w:t xml:space="preserve">Đức, An Nhơn Tây, Tân An Hội, </w:t>
            </w:r>
            <w:r w:rsidRPr="00D05C33">
              <w:rPr>
                <w:rFonts w:ascii="Times New Roman" w:hAnsi="Times New Roman" w:cs="Times New Roman"/>
                <w:color w:val="000000"/>
                <w:sz w:val="28"/>
                <w:szCs w:val="28"/>
                <w:lang w:val="vi-VN"/>
              </w:rPr>
              <w:t xml:space="preserve">Nhà Bè, </w:t>
            </w:r>
            <w:r w:rsidRPr="00D05C33">
              <w:rPr>
                <w:rFonts w:ascii="Times New Roman" w:hAnsi="Times New Roman" w:cs="Times New Roman"/>
                <w:color w:val="000000"/>
                <w:sz w:val="28"/>
                <w:szCs w:val="28"/>
              </w:rPr>
              <w:t xml:space="preserve">Hiệp Phước, </w:t>
            </w:r>
            <w:r w:rsidRPr="00D05C33">
              <w:rPr>
                <w:rFonts w:ascii="Times New Roman" w:hAnsi="Times New Roman" w:cs="Times New Roman"/>
                <w:color w:val="000000"/>
                <w:sz w:val="28"/>
                <w:szCs w:val="28"/>
                <w:lang w:val="vi-VN"/>
              </w:rPr>
              <w:t>Cần Giờ,</w:t>
            </w:r>
            <w:r w:rsidRPr="00D05C33">
              <w:rPr>
                <w:rFonts w:ascii="Times New Roman" w:hAnsi="Times New Roman" w:cs="Times New Roman"/>
                <w:color w:val="000000"/>
                <w:sz w:val="28"/>
                <w:szCs w:val="28"/>
              </w:rPr>
              <w:t xml:space="preserve"> Thạnh An, Bình Khánh, An Thới Đông, </w:t>
            </w:r>
            <w:r w:rsidRPr="00D05C33">
              <w:rPr>
                <w:rFonts w:ascii="Times New Roman" w:hAnsi="Times New Roman" w:cs="Times New Roman"/>
                <w:color w:val="000000"/>
                <w:sz w:val="28"/>
                <w:szCs w:val="28"/>
                <w:lang w:val="vi-VN"/>
              </w:rPr>
              <w:t>Hóc Môn</w:t>
            </w:r>
            <w:r w:rsidRPr="00D05C33">
              <w:rPr>
                <w:rFonts w:ascii="Times New Roman" w:hAnsi="Times New Roman" w:cs="Times New Roman"/>
                <w:color w:val="000000"/>
                <w:sz w:val="28"/>
                <w:szCs w:val="28"/>
              </w:rPr>
              <w:t>, Xuân Thới Sơn, Bà Điểm, Đông Thạnh;</w:t>
            </w:r>
          </w:p>
          <w:p w14:paraId="0E12E213" w14:textId="77777777" w:rsidR="004277F6" w:rsidRPr="00D05C33" w:rsidRDefault="004277F6" w:rsidP="004502B8">
            <w:pPr>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color w:val="000000"/>
                <w:sz w:val="28"/>
                <w:szCs w:val="28"/>
              </w:rPr>
              <w:t>- Các cơ sở cai nghiện ma túy số 1, 2, 3, 5 Công an Thành phố Hồ Chí Minh;</w:t>
            </w:r>
          </w:p>
          <w:p w14:paraId="2D663D2D" w14:textId="77777777" w:rsidR="004277F6" w:rsidRPr="00D05C33" w:rsidRDefault="004277F6" w:rsidP="004502B8">
            <w:pPr>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color w:val="000000"/>
                <w:sz w:val="28"/>
                <w:szCs w:val="28"/>
              </w:rPr>
              <w:t>- Các cơ sở cai nghiện ma túy số 2, 4 Công an tỉnh Lâm Đồng;</w:t>
            </w:r>
          </w:p>
          <w:p w14:paraId="57EDBB11" w14:textId="42A66EAC" w:rsidR="004277F6" w:rsidRPr="00D05C33" w:rsidRDefault="004277F6" w:rsidP="004502B8">
            <w:pPr>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color w:val="000000"/>
                <w:sz w:val="28"/>
                <w:szCs w:val="28"/>
              </w:rPr>
              <w:t>- Các cơ sở cai nghiện ma túy số 2, 3, 4, 5, 6 Công an tỉnh Đồng Nai.</w:t>
            </w:r>
          </w:p>
        </w:tc>
      </w:tr>
      <w:tr w:rsidR="009249D1" w:rsidRPr="00D05C33" w14:paraId="11EBB81A" w14:textId="77777777" w:rsidTr="00A47B48">
        <w:trPr>
          <w:trHeight w:val="20"/>
        </w:trPr>
        <w:tc>
          <w:tcPr>
            <w:tcW w:w="3087" w:type="pct"/>
          </w:tcPr>
          <w:p w14:paraId="39F38C4A" w14:textId="46DE0DAF" w:rsidR="00D05C33" w:rsidRPr="00D05C33" w:rsidRDefault="00D05C33"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lastRenderedPageBreak/>
              <w:t>1. Mức hỗ trợ đối với người cai nghiện ma túy bắt buộc tại các cơ sở cai nghiện ma túy công lập</w:t>
            </w:r>
          </w:p>
          <w:p w14:paraId="4F59BAE3" w14:textId="6B2CB13B" w:rsidR="00D05C33" w:rsidRPr="00D05C33" w:rsidRDefault="00D05C33"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eastAsia="Times New Roman" w:hAnsi="Times New Roman" w:cs="Times New Roman"/>
                <w:color w:val="000000"/>
                <w:sz w:val="28"/>
                <w:szCs w:val="28"/>
              </w:rPr>
              <w:t>a) Tiền ăn: mức hỗ trợ tiền ăn hằng tháng bằng 0,8 lần mức lương cơ sở.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do Giám đốc cơ sở cai nghiện bắt buộc quyết định theo chỉ định của nhân viên y tế điều trị nhưng không quá 03 lần tiêu chuẩn ngày thường.</w:t>
            </w:r>
          </w:p>
          <w:p w14:paraId="406385A9" w14:textId="59FDCA6F" w:rsidR="00D05C33" w:rsidRPr="00D05C33" w:rsidRDefault="00D05C33" w:rsidP="004502B8">
            <w:pPr>
              <w:pBdr>
                <w:bottom w:val="single" w:sz="4" w:space="22" w:color="FFFFFF"/>
              </w:pBdr>
              <w:shd w:val="clear" w:color="auto" w:fill="FFFFFF"/>
              <w:spacing w:before="120" w:after="120" w:line="240" w:lineRule="auto"/>
              <w:jc w:val="both"/>
              <w:rPr>
                <w:rFonts w:ascii="Times New Roman" w:hAnsi="Times New Roman" w:cs="Times New Roman"/>
                <w:color w:val="000000"/>
                <w:sz w:val="28"/>
                <w:szCs w:val="28"/>
              </w:rPr>
            </w:pPr>
            <w:r w:rsidRPr="00D05C33">
              <w:rPr>
                <w:rFonts w:ascii="Times New Roman" w:eastAsia="Times New Roman" w:hAnsi="Times New Roman" w:cs="Times New Roman"/>
                <w:color w:val="000000"/>
                <w:sz w:val="28"/>
                <w:szCs w:val="28"/>
              </w:rPr>
              <w:t>b) Tiền trang bị quần áo và đồ dùng sinh hoạt thiết yếu (gồm: tiền chăn, màn, chiếu gối, quần áo, đồ dùng sinh hoạt cá nhân và băng vệ sinh đối với nữ) hằng năm: mức hỗ trợ bằng 0,9 lần mức lương cơ sở/người/lần</w:t>
            </w:r>
            <w:r w:rsidRPr="00D05C33">
              <w:rPr>
                <w:rFonts w:ascii="Times New Roman" w:eastAsia="Times New Roman" w:hAnsi="Times New Roman" w:cs="Times New Roman"/>
                <w:iCs/>
                <w:color w:val="000000"/>
                <w:sz w:val="28"/>
                <w:szCs w:val="28"/>
              </w:rPr>
              <w:t>.</w:t>
            </w:r>
          </w:p>
          <w:p w14:paraId="626732F4" w14:textId="6324980C" w:rsidR="00D05C33" w:rsidRPr="00D05C33" w:rsidRDefault="00D05C33" w:rsidP="004502B8">
            <w:pPr>
              <w:pBdr>
                <w:bottom w:val="single" w:sz="4" w:space="22" w:color="FFFFFF"/>
              </w:pBdr>
              <w:shd w:val="clear" w:color="auto" w:fill="FFFFFF"/>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color w:val="000000"/>
                <w:sz w:val="28"/>
                <w:szCs w:val="28"/>
              </w:rPr>
              <w:t>2. Mức hỗ trợ đối với người cai nghiện ma túy bắt buộc chấp hành xong quyết định đưa vào cơ sở cai nghiện bắt buộc trở về địa phương thực hiện quản lý sau cai nghiện tại nơi cư trú: cơ sở cai nghiện ma túy bắt buộc thực hiện mua sắm quần áo với mức tối đa 400.000 đồng/bộ và cấp 01 (một) bộ/người (nếu họ không có).</w:t>
            </w:r>
          </w:p>
          <w:p w14:paraId="6395DE91" w14:textId="3D0D2828" w:rsidR="00F46A11" w:rsidRPr="00D05C33" w:rsidRDefault="00D05C33"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hAnsi="Times New Roman" w:cs="Times New Roman"/>
                <w:sz w:val="28"/>
                <w:szCs w:val="28"/>
              </w:rPr>
              <w:t>3. Mức hỗ trợ đối với người được giao nhiệm vụ tư vấn tâm lý, xã hội, quản lý, hỗ trợ người cai nghiện tự nguyện tại gia đình, cộng đồng, người bị quản lý sau cai nghiện ma túy theo phân công của Chủ tịch Ủy ban nhân dân cấp xã: 0,6 lần mức lương cơ sở/người/tháng.</w:t>
            </w:r>
          </w:p>
        </w:tc>
        <w:tc>
          <w:tcPr>
            <w:tcW w:w="1913" w:type="pct"/>
          </w:tcPr>
          <w:p w14:paraId="49A80FD6" w14:textId="6B15ED1D" w:rsidR="009249D1" w:rsidRPr="00D05C33" w:rsidRDefault="009249D1" w:rsidP="004502B8">
            <w:pPr>
              <w:spacing w:before="120" w:after="120" w:line="240" w:lineRule="auto"/>
              <w:jc w:val="both"/>
              <w:rPr>
                <w:rFonts w:ascii="Times New Roman" w:hAnsi="Times New Roman" w:cs="Times New Roman"/>
                <w:sz w:val="28"/>
                <w:szCs w:val="28"/>
                <w:lang w:val="pt-BR"/>
              </w:rPr>
            </w:pPr>
            <w:r w:rsidRPr="00D05C33">
              <w:rPr>
                <w:rFonts w:ascii="Times New Roman" w:hAnsi="Times New Roman" w:cs="Times New Roman"/>
                <w:sz w:val="28"/>
                <w:szCs w:val="28"/>
                <w:lang w:val="pt-BR"/>
              </w:rPr>
              <w:t xml:space="preserve">- </w:t>
            </w:r>
            <w:r w:rsidR="003140D5">
              <w:rPr>
                <w:rFonts w:ascii="Times New Roman" w:hAnsi="Times New Roman" w:cs="Times New Roman"/>
                <w:sz w:val="28"/>
                <w:szCs w:val="28"/>
                <w:lang w:val="pt-BR"/>
              </w:rPr>
              <w:t>Các p</w:t>
            </w:r>
            <w:r w:rsidRPr="00D05C33">
              <w:rPr>
                <w:rFonts w:ascii="Times New Roman" w:hAnsi="Times New Roman" w:cs="Times New Roman"/>
                <w:sz w:val="28"/>
                <w:szCs w:val="28"/>
                <w:lang w:val="pt-BR"/>
              </w:rPr>
              <w:t>hường</w:t>
            </w:r>
            <w:r w:rsidR="003140D5">
              <w:rPr>
                <w:rFonts w:ascii="Times New Roman" w:hAnsi="Times New Roman" w:cs="Times New Roman"/>
                <w:sz w:val="28"/>
                <w:szCs w:val="28"/>
                <w:lang w:val="pt-BR"/>
              </w:rPr>
              <w:t>:</w:t>
            </w:r>
            <w:r w:rsidRPr="00D05C33">
              <w:rPr>
                <w:rFonts w:ascii="Times New Roman" w:hAnsi="Times New Roman" w:cs="Times New Roman"/>
                <w:sz w:val="28"/>
                <w:szCs w:val="28"/>
                <w:lang w:val="pt-BR"/>
              </w:rPr>
              <w:t xml:space="preserve"> Bình Dương, Đông Hòa, Dĩ An, Tân Đông Hiệp, An Phú, Bình Hòa, Lái Thiêu, Thuận An, Thuận Giao, Thủ Dầu Một, Phú Lợi, Chánh Hiệp, Hòa Lợi, Thới Hòa, Phú An, Tây Nam, Long Nguyên, Bến Cát, Chánh Phú Hòa, Vĩnh Tân, Bình Cơ, Tân Uyên, Tân Hiệp, Tân Khánh;</w:t>
            </w:r>
          </w:p>
          <w:p w14:paraId="7C8F067E" w14:textId="1AA1DBD0" w:rsidR="009249D1" w:rsidRPr="00D05C33" w:rsidRDefault="009249D1" w:rsidP="004502B8">
            <w:pPr>
              <w:spacing w:before="120" w:after="120" w:line="240" w:lineRule="auto"/>
              <w:jc w:val="both"/>
              <w:rPr>
                <w:rFonts w:ascii="Times New Roman" w:hAnsi="Times New Roman" w:cs="Times New Roman"/>
                <w:sz w:val="28"/>
                <w:szCs w:val="28"/>
                <w:lang w:val="pt-BR"/>
              </w:rPr>
            </w:pPr>
            <w:r w:rsidRPr="00D05C33">
              <w:rPr>
                <w:rFonts w:ascii="Times New Roman" w:hAnsi="Times New Roman" w:cs="Times New Roman"/>
                <w:sz w:val="28"/>
                <w:szCs w:val="28"/>
                <w:lang w:val="pt-BR"/>
              </w:rPr>
              <w:t xml:space="preserve">- </w:t>
            </w:r>
            <w:r w:rsidR="003140D5">
              <w:rPr>
                <w:rFonts w:ascii="Times New Roman" w:hAnsi="Times New Roman" w:cs="Times New Roman"/>
                <w:sz w:val="28"/>
                <w:szCs w:val="28"/>
                <w:lang w:val="pt-BR"/>
              </w:rPr>
              <w:t>Các x</w:t>
            </w:r>
            <w:r w:rsidRPr="00D05C33">
              <w:rPr>
                <w:rFonts w:ascii="Times New Roman" w:hAnsi="Times New Roman" w:cs="Times New Roman"/>
                <w:sz w:val="28"/>
                <w:szCs w:val="28"/>
                <w:lang w:val="pt-BR"/>
              </w:rPr>
              <w:t>ã</w:t>
            </w:r>
            <w:r w:rsidR="003140D5">
              <w:rPr>
                <w:rFonts w:ascii="Times New Roman" w:hAnsi="Times New Roman" w:cs="Times New Roman"/>
                <w:sz w:val="28"/>
                <w:szCs w:val="28"/>
                <w:lang w:val="pt-BR"/>
              </w:rPr>
              <w:t>:</w:t>
            </w:r>
            <w:r w:rsidRPr="00D05C33">
              <w:rPr>
                <w:rFonts w:ascii="Times New Roman" w:hAnsi="Times New Roman" w:cs="Times New Roman"/>
                <w:sz w:val="28"/>
                <w:szCs w:val="28"/>
                <w:lang w:val="pt-BR"/>
              </w:rPr>
              <w:t xml:space="preserve"> Thường Tân, Bắc Tân Uyên, Phú Giáo, Phước Hòa, Phước Thành, An Long, Trừ Văn Thố, Bàu Bàng, Long Hòa, Thanh An, Dầu Tiếng, Minh Thạnh;</w:t>
            </w:r>
          </w:p>
          <w:p w14:paraId="078845D5" w14:textId="6165BC2F" w:rsidR="00B8038F" w:rsidRPr="00D05C33" w:rsidRDefault="00B8038F" w:rsidP="004502B8">
            <w:pPr>
              <w:spacing w:before="120" w:after="120" w:line="240" w:lineRule="auto"/>
              <w:jc w:val="both"/>
              <w:rPr>
                <w:rFonts w:ascii="Times New Roman" w:hAnsi="Times New Roman" w:cs="Times New Roman"/>
                <w:color w:val="000000"/>
                <w:sz w:val="28"/>
                <w:szCs w:val="28"/>
              </w:rPr>
            </w:pPr>
            <w:r w:rsidRPr="00D05C33">
              <w:rPr>
                <w:rFonts w:ascii="Times New Roman" w:hAnsi="Times New Roman" w:cs="Times New Roman"/>
                <w:sz w:val="28"/>
                <w:szCs w:val="28"/>
                <w:lang w:val="pt-BR"/>
              </w:rPr>
              <w:t>- C</w:t>
            </w:r>
            <w:r w:rsidRPr="00D05C33">
              <w:rPr>
                <w:rFonts w:ascii="Times New Roman" w:hAnsi="Times New Roman" w:cs="Times New Roman"/>
                <w:spacing w:val="-2"/>
                <w:sz w:val="28"/>
                <w:szCs w:val="28"/>
                <w:lang w:val="pt-BR"/>
              </w:rPr>
              <w:t>ơ sở cai nghiện ma túy số 4 Công an Thành phố Hồ Chí Minh.</w:t>
            </w:r>
          </w:p>
        </w:tc>
      </w:tr>
      <w:tr w:rsidR="00B8038F" w:rsidRPr="00D05C33" w14:paraId="026866E4" w14:textId="77777777" w:rsidTr="00A47B48">
        <w:trPr>
          <w:trHeight w:val="20"/>
        </w:trPr>
        <w:tc>
          <w:tcPr>
            <w:tcW w:w="3087" w:type="pct"/>
          </w:tcPr>
          <w:p w14:paraId="3533AA60" w14:textId="448558A2" w:rsidR="00F46A11" w:rsidRPr="00D05C33" w:rsidRDefault="00F46A11" w:rsidP="004502B8">
            <w:pPr>
              <w:spacing w:before="120" w:after="120" w:line="240" w:lineRule="auto"/>
              <w:jc w:val="both"/>
              <w:rPr>
                <w:rFonts w:ascii="Times New Roman" w:hAnsi="Times New Roman" w:cs="Times New Roman"/>
                <w:color w:val="000000"/>
                <w:sz w:val="28"/>
                <w:szCs w:val="28"/>
                <w:lang w:val="vi-VN"/>
              </w:rPr>
            </w:pPr>
            <w:r w:rsidRPr="00D05C33">
              <w:rPr>
                <w:rFonts w:ascii="Times New Roman" w:hAnsi="Times New Roman" w:cs="Times New Roman"/>
                <w:sz w:val="28"/>
                <w:szCs w:val="28"/>
              </w:rPr>
              <w:t>1. Mức h</w:t>
            </w:r>
            <w:r w:rsidRPr="00D05C33">
              <w:rPr>
                <w:rFonts w:ascii="Times New Roman" w:hAnsi="Times New Roman" w:cs="Times New Roman"/>
                <w:color w:val="000000"/>
                <w:sz w:val="28"/>
                <w:szCs w:val="28"/>
              </w:rPr>
              <w:t>ỗ trợ</w:t>
            </w:r>
            <w:r w:rsidRPr="00D05C33">
              <w:rPr>
                <w:rFonts w:ascii="Times New Roman" w:hAnsi="Times New Roman" w:cs="Times New Roman"/>
                <w:color w:val="000000"/>
                <w:sz w:val="28"/>
                <w:szCs w:val="28"/>
                <w:lang w:val="vi-VN"/>
              </w:rPr>
              <w:t xml:space="preserve"> tiền ăn h</w:t>
            </w:r>
            <w:r w:rsidRPr="00D05C33">
              <w:rPr>
                <w:rFonts w:ascii="Times New Roman" w:hAnsi="Times New Roman" w:cs="Times New Roman"/>
                <w:color w:val="000000"/>
                <w:sz w:val="28"/>
                <w:szCs w:val="28"/>
              </w:rPr>
              <w:t>ằ</w:t>
            </w:r>
            <w:r w:rsidRPr="00D05C33">
              <w:rPr>
                <w:rFonts w:ascii="Times New Roman" w:hAnsi="Times New Roman" w:cs="Times New Roman"/>
                <w:color w:val="000000"/>
                <w:sz w:val="28"/>
                <w:szCs w:val="28"/>
                <w:lang w:val="vi-VN"/>
              </w:rPr>
              <w:t>ng tháng của người cai nghiện</w:t>
            </w:r>
            <w:r w:rsidRPr="00D05C33">
              <w:rPr>
                <w:rFonts w:ascii="Times New Roman" w:hAnsi="Times New Roman" w:cs="Times New Roman"/>
                <w:color w:val="000000"/>
                <w:sz w:val="28"/>
                <w:szCs w:val="28"/>
              </w:rPr>
              <w:t xml:space="preserve"> ma túy bắt buộc</w:t>
            </w:r>
            <w:r w:rsidRPr="00D05C33">
              <w:rPr>
                <w:rFonts w:ascii="Times New Roman" w:hAnsi="Times New Roman" w:cs="Times New Roman"/>
                <w:color w:val="000000"/>
                <w:sz w:val="28"/>
                <w:szCs w:val="28"/>
                <w:lang w:val="vi-VN"/>
              </w:rPr>
              <w:t xml:space="preserve"> bằng 1,0 mức lương cơ sở hiện hành.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do Giám đốc cơ sở cai nghiện bắt buộc quyết định </w:t>
            </w:r>
            <w:r w:rsidRPr="00D05C33">
              <w:rPr>
                <w:rFonts w:ascii="Times New Roman" w:hAnsi="Times New Roman" w:cs="Times New Roman"/>
                <w:color w:val="000000"/>
                <w:sz w:val="28"/>
                <w:szCs w:val="28"/>
                <w:lang w:val="vi-VN"/>
              </w:rPr>
              <w:lastRenderedPageBreak/>
              <w:t>theo chỉ định của nhân viên y tế điều trị, nhưng không thấp hơn 03 lần tiêu chuẩn ngày thường.</w:t>
            </w:r>
          </w:p>
          <w:p w14:paraId="1A1BED2F" w14:textId="59ADFB6F" w:rsidR="00F46A11" w:rsidRPr="00D05C33" w:rsidRDefault="00F46A11"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pacing w:val="-4"/>
                <w:sz w:val="28"/>
                <w:szCs w:val="28"/>
              </w:rPr>
            </w:pPr>
            <w:r w:rsidRPr="00D05C33">
              <w:rPr>
                <w:rFonts w:ascii="Times New Roman" w:eastAsia="Times New Roman" w:hAnsi="Times New Roman" w:cs="Times New Roman"/>
                <w:color w:val="000000"/>
                <w:spacing w:val="-4"/>
                <w:sz w:val="28"/>
                <w:szCs w:val="28"/>
                <w:lang w:val="vi-VN"/>
              </w:rPr>
              <w:t xml:space="preserve">2. </w:t>
            </w:r>
            <w:r w:rsidRPr="00D05C33">
              <w:rPr>
                <w:rFonts w:ascii="Times New Roman" w:eastAsia="Times New Roman" w:hAnsi="Times New Roman" w:cs="Times New Roman"/>
                <w:color w:val="000000"/>
                <w:spacing w:val="-4"/>
                <w:sz w:val="28"/>
                <w:szCs w:val="28"/>
              </w:rPr>
              <w:t>Mức hỗ trợ</w:t>
            </w:r>
            <w:r w:rsidRPr="00D05C33">
              <w:rPr>
                <w:rFonts w:ascii="Times New Roman" w:eastAsia="Times New Roman" w:hAnsi="Times New Roman" w:cs="Times New Roman"/>
                <w:color w:val="000000"/>
                <w:spacing w:val="-4"/>
                <w:sz w:val="28"/>
                <w:szCs w:val="28"/>
                <w:lang w:val="vi-VN"/>
              </w:rPr>
              <w:t xml:space="preserve"> tiền chăn, màn, chiếu, gối, quần áo, đồ dùng sinh hoạt cá nhân</w:t>
            </w:r>
            <w:r w:rsidRPr="00D05C33">
              <w:rPr>
                <w:rFonts w:ascii="Times New Roman" w:eastAsia="Times New Roman" w:hAnsi="Times New Roman" w:cs="Times New Roman"/>
                <w:color w:val="000000"/>
                <w:spacing w:val="-4"/>
                <w:sz w:val="28"/>
                <w:szCs w:val="28"/>
              </w:rPr>
              <w:t xml:space="preserve"> cho người cai nghiện ma túy bắt buộc</w:t>
            </w:r>
          </w:p>
          <w:p w14:paraId="3C66E26A" w14:textId="77777777" w:rsidR="00F46A11" w:rsidRPr="00D05C33" w:rsidRDefault="00F46A11"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lang w:val="vi-VN"/>
              </w:rPr>
            </w:pPr>
            <w:r w:rsidRPr="00D05C33">
              <w:rPr>
                <w:rFonts w:ascii="Times New Roman" w:eastAsia="Times New Roman" w:hAnsi="Times New Roman" w:cs="Times New Roman"/>
                <w:color w:val="000000"/>
                <w:sz w:val="28"/>
                <w:szCs w:val="28"/>
                <w:lang w:val="vi-VN"/>
              </w:rPr>
              <w:t>a) Định mức đối với người cai nghiện là nam: 1,0 mức lương cơ sở/người/năm.</w:t>
            </w:r>
          </w:p>
          <w:p w14:paraId="5208DB24" w14:textId="77777777" w:rsidR="00F46A11" w:rsidRPr="00D05C33" w:rsidRDefault="00F46A11"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lang w:val="vi-VN"/>
              </w:rPr>
            </w:pPr>
            <w:r w:rsidRPr="00D05C33">
              <w:rPr>
                <w:rFonts w:ascii="Times New Roman" w:eastAsia="Times New Roman" w:hAnsi="Times New Roman" w:cs="Times New Roman"/>
                <w:color w:val="000000"/>
                <w:sz w:val="28"/>
                <w:szCs w:val="28"/>
                <w:lang w:val="vi-VN"/>
              </w:rPr>
              <w:t>b) Định mức đối với người cai nghiện là nữ: 1,5 mức lương cơ sở/người/năm.</w:t>
            </w:r>
          </w:p>
          <w:p w14:paraId="2276CCAC" w14:textId="5F0CAD0D" w:rsidR="00F46A11" w:rsidRPr="00D05C33" w:rsidRDefault="00F46A11" w:rsidP="004502B8">
            <w:pPr>
              <w:pBdr>
                <w:bottom w:val="single" w:sz="4" w:space="22" w:color="FFFFFF"/>
              </w:pBdr>
              <w:shd w:val="clear" w:color="auto" w:fill="FFFFFF"/>
              <w:spacing w:before="120" w:after="120" w:line="240" w:lineRule="auto"/>
              <w:jc w:val="both"/>
              <w:rPr>
                <w:rFonts w:ascii="Times New Roman" w:hAnsi="Times New Roman" w:cs="Times New Roman"/>
                <w:sz w:val="28"/>
                <w:szCs w:val="28"/>
              </w:rPr>
            </w:pPr>
            <w:r w:rsidRPr="00D05C33">
              <w:rPr>
                <w:rFonts w:ascii="Times New Roman" w:hAnsi="Times New Roman" w:cs="Times New Roman"/>
                <w:sz w:val="28"/>
                <w:szCs w:val="28"/>
              </w:rPr>
              <w:t xml:space="preserve">3. </w:t>
            </w:r>
            <w:r w:rsidR="00D05C33" w:rsidRPr="00D05C33">
              <w:rPr>
                <w:rFonts w:ascii="Times New Roman" w:hAnsi="Times New Roman" w:cs="Times New Roman"/>
                <w:sz w:val="28"/>
                <w:szCs w:val="28"/>
              </w:rPr>
              <w:t>Mức hỗ trợ</w:t>
            </w:r>
            <w:r w:rsidRPr="00D05C33">
              <w:rPr>
                <w:rFonts w:ascii="Times New Roman" w:hAnsi="Times New Roman" w:cs="Times New Roman"/>
                <w:sz w:val="28"/>
                <w:szCs w:val="28"/>
              </w:rPr>
              <w:t xml:space="preserve"> tổ chức hoạt động văn hóa, văn nghệ, thể dục, thể thao, đọc sách, báo, xem truyền hình và các hoạt động vui chơi giải trí khác ngoài thời gian học tập và lao động: 150.000 đồng/người/năm.</w:t>
            </w:r>
          </w:p>
          <w:p w14:paraId="42969702" w14:textId="0C3F64D0" w:rsidR="00F46A11" w:rsidRPr="00D05C33" w:rsidRDefault="00F46A11" w:rsidP="004502B8">
            <w:pPr>
              <w:pBdr>
                <w:bottom w:val="single" w:sz="4" w:space="22" w:color="FFFFFF"/>
              </w:pBdr>
              <w:shd w:val="clear" w:color="auto" w:fill="FFFFFF"/>
              <w:spacing w:before="120" w:after="120" w:line="240" w:lineRule="auto"/>
              <w:jc w:val="both"/>
              <w:rPr>
                <w:rFonts w:ascii="Times New Roman" w:hAnsi="Times New Roman" w:cs="Times New Roman"/>
                <w:sz w:val="28"/>
                <w:szCs w:val="28"/>
              </w:rPr>
            </w:pPr>
            <w:r w:rsidRPr="00D05C33">
              <w:rPr>
                <w:rFonts w:ascii="Times New Roman" w:hAnsi="Times New Roman" w:cs="Times New Roman"/>
                <w:sz w:val="28"/>
                <w:szCs w:val="28"/>
              </w:rPr>
              <w:t xml:space="preserve">4. </w:t>
            </w:r>
            <w:r w:rsidR="00D05C33" w:rsidRPr="00D05C33">
              <w:rPr>
                <w:rFonts w:ascii="Times New Roman" w:hAnsi="Times New Roman" w:cs="Times New Roman"/>
                <w:sz w:val="28"/>
                <w:szCs w:val="28"/>
              </w:rPr>
              <w:t>Mức</w:t>
            </w:r>
            <w:r w:rsidRPr="00D05C33">
              <w:rPr>
                <w:rFonts w:ascii="Times New Roman" w:hAnsi="Times New Roman" w:cs="Times New Roman"/>
                <w:sz w:val="28"/>
                <w:szCs w:val="28"/>
              </w:rPr>
              <w:t xml:space="preserve"> hỗ trợ tiền ăn, tiền tàu xe và cấp quần áo (nếu họ không có) cho người cai nghiện bắt buộc chấp hành xong quyết định đưa vào cơ sở cai nghiện bắt buộc về địa phương nơi cư trú</w:t>
            </w:r>
          </w:p>
          <w:p w14:paraId="262C0E3B" w14:textId="77777777" w:rsidR="00F46A11" w:rsidRPr="00D05C33" w:rsidRDefault="00F46A11" w:rsidP="004502B8">
            <w:pPr>
              <w:pBdr>
                <w:bottom w:val="single" w:sz="4" w:space="22" w:color="FFFFFF"/>
              </w:pBdr>
              <w:shd w:val="clear" w:color="auto" w:fill="FFFFFF"/>
              <w:spacing w:before="120" w:after="120" w:line="240" w:lineRule="auto"/>
              <w:jc w:val="both"/>
              <w:rPr>
                <w:rFonts w:ascii="Times New Roman" w:hAnsi="Times New Roman" w:cs="Times New Roman"/>
                <w:sz w:val="28"/>
                <w:szCs w:val="28"/>
              </w:rPr>
            </w:pPr>
            <w:r w:rsidRPr="00D05C33">
              <w:rPr>
                <w:rFonts w:ascii="Times New Roman" w:hAnsi="Times New Roman" w:cs="Times New Roman"/>
                <w:sz w:val="28"/>
                <w:szCs w:val="28"/>
              </w:rPr>
              <w:t>a) Tiền ăn: 100.000 đồng/người/ngày trong những ngày đi đường (tối đa không quá 03 ngày).</w:t>
            </w:r>
          </w:p>
          <w:p w14:paraId="032AB37F" w14:textId="77777777" w:rsidR="00F46A11" w:rsidRPr="00D05C33" w:rsidRDefault="00F46A11" w:rsidP="004502B8">
            <w:pPr>
              <w:pBdr>
                <w:bottom w:val="single" w:sz="4" w:space="22" w:color="FFFFFF"/>
              </w:pBdr>
              <w:shd w:val="clear" w:color="auto" w:fill="FFFFFF"/>
              <w:spacing w:before="120" w:after="120" w:line="240" w:lineRule="auto"/>
              <w:jc w:val="both"/>
              <w:rPr>
                <w:rFonts w:ascii="Times New Roman" w:hAnsi="Times New Roman" w:cs="Times New Roman"/>
                <w:sz w:val="28"/>
                <w:szCs w:val="28"/>
              </w:rPr>
            </w:pPr>
            <w:r w:rsidRPr="00D05C33">
              <w:rPr>
                <w:rFonts w:ascii="Times New Roman" w:hAnsi="Times New Roman" w:cs="Times New Roman"/>
                <w:sz w:val="28"/>
                <w:szCs w:val="28"/>
              </w:rPr>
              <w:t>b) Cấp 01 (một) bộ quần áo. Mức chi tối đa là 400.000 đồng/bộ.</w:t>
            </w:r>
          </w:p>
          <w:p w14:paraId="3A267DB4" w14:textId="11E1C5DC" w:rsidR="00F46A11" w:rsidRPr="00D05C33" w:rsidRDefault="00F46A11" w:rsidP="004502B8">
            <w:pPr>
              <w:pBdr>
                <w:bottom w:val="single" w:sz="4" w:space="22" w:color="FFFFFF"/>
              </w:pBdr>
              <w:shd w:val="clear" w:color="auto" w:fill="FFFFFF"/>
              <w:spacing w:before="120" w:after="120" w:line="240" w:lineRule="auto"/>
              <w:jc w:val="both"/>
              <w:rPr>
                <w:rFonts w:ascii="Times New Roman" w:hAnsi="Times New Roman" w:cs="Times New Roman"/>
                <w:sz w:val="28"/>
                <w:szCs w:val="28"/>
              </w:rPr>
            </w:pPr>
            <w:r w:rsidRPr="00D05C33">
              <w:rPr>
                <w:rFonts w:ascii="Times New Roman" w:hAnsi="Times New Roman" w:cs="Times New Roman"/>
                <w:sz w:val="28"/>
                <w:szCs w:val="28"/>
              </w:rPr>
              <w:t>c) Tiền tàu xe: theo giá phương tiện công cộng phổ thông.</w:t>
            </w:r>
          </w:p>
          <w:p w14:paraId="3B281D15" w14:textId="7F9FC439" w:rsidR="00B8038F" w:rsidRPr="00D05C33" w:rsidRDefault="00F46A11" w:rsidP="004502B8">
            <w:pPr>
              <w:pBdr>
                <w:bottom w:val="single" w:sz="4" w:space="22" w:color="FFFFFF"/>
              </w:pBdr>
              <w:shd w:val="clear" w:color="auto" w:fill="FFFFFF"/>
              <w:spacing w:before="120" w:after="120" w:line="240" w:lineRule="auto"/>
              <w:jc w:val="both"/>
              <w:rPr>
                <w:rFonts w:ascii="Times New Roman" w:eastAsia="Times New Roman" w:hAnsi="Times New Roman" w:cs="Times New Roman"/>
                <w:color w:val="000000"/>
                <w:sz w:val="28"/>
                <w:szCs w:val="28"/>
              </w:rPr>
            </w:pPr>
            <w:r w:rsidRPr="00D05C33">
              <w:rPr>
                <w:rFonts w:ascii="Times New Roman" w:hAnsi="Times New Roman" w:cs="Times New Roman"/>
                <w:sz w:val="28"/>
                <w:szCs w:val="28"/>
              </w:rPr>
              <w:t>6. Mức hỗ trợ</w:t>
            </w:r>
            <w:r w:rsidR="00F418BB">
              <w:rPr>
                <w:rFonts w:ascii="Times New Roman" w:hAnsi="Times New Roman" w:cs="Times New Roman"/>
                <w:sz w:val="28"/>
                <w:szCs w:val="28"/>
              </w:rPr>
              <w:t xml:space="preserve"> thù lao hằ</w:t>
            </w:r>
            <w:r w:rsidRPr="00D05C33">
              <w:rPr>
                <w:rFonts w:ascii="Times New Roman" w:hAnsi="Times New Roman" w:cs="Times New Roman"/>
                <w:sz w:val="28"/>
                <w:szCs w:val="28"/>
              </w:rPr>
              <w:t>ng tháng đối với người được giao nhiệm vụ tư vấn tâm lý, xã hội, quản lý, hỗ trợ người cai nhiện ma túy tự nguyện tại gia đình, cộng đồng tại cấp xã theo sự phân công của Chủ tịch Ủy ban nhân dân cấp xã: 1.080.000 đồng với mức 01 người được giao nhiệm vụ quản lý không quá 07 người cùng một thời điểm.</w:t>
            </w:r>
          </w:p>
        </w:tc>
        <w:tc>
          <w:tcPr>
            <w:tcW w:w="1913" w:type="pct"/>
          </w:tcPr>
          <w:p w14:paraId="56D2EDDE" w14:textId="2BEA00A0" w:rsidR="00B8038F" w:rsidRPr="00D05C33" w:rsidRDefault="00B8038F" w:rsidP="004502B8">
            <w:pPr>
              <w:spacing w:before="120" w:after="120" w:line="240" w:lineRule="auto"/>
              <w:jc w:val="both"/>
              <w:rPr>
                <w:rFonts w:ascii="Times New Roman" w:hAnsi="Times New Roman" w:cs="Times New Roman"/>
                <w:sz w:val="28"/>
                <w:szCs w:val="28"/>
                <w:lang w:val="pt-BR"/>
              </w:rPr>
            </w:pPr>
            <w:r w:rsidRPr="00D05C33">
              <w:rPr>
                <w:rFonts w:ascii="Times New Roman" w:hAnsi="Times New Roman" w:cs="Times New Roman"/>
                <w:sz w:val="28"/>
                <w:szCs w:val="28"/>
                <w:lang w:val="pt-BR"/>
              </w:rPr>
              <w:lastRenderedPageBreak/>
              <w:t>-</w:t>
            </w:r>
            <w:r w:rsidR="003140D5">
              <w:rPr>
                <w:rFonts w:ascii="Times New Roman" w:hAnsi="Times New Roman" w:cs="Times New Roman"/>
                <w:sz w:val="28"/>
                <w:szCs w:val="28"/>
                <w:lang w:val="pt-BR"/>
              </w:rPr>
              <w:t xml:space="preserve"> Các</w:t>
            </w:r>
            <w:r w:rsidRPr="00D05C33">
              <w:rPr>
                <w:rFonts w:ascii="Times New Roman" w:hAnsi="Times New Roman" w:cs="Times New Roman"/>
                <w:sz w:val="28"/>
                <w:szCs w:val="28"/>
                <w:lang w:val="pt-BR"/>
              </w:rPr>
              <w:t xml:space="preserve"> </w:t>
            </w:r>
            <w:r w:rsidR="003140D5">
              <w:rPr>
                <w:rFonts w:ascii="Times New Roman" w:hAnsi="Times New Roman" w:cs="Times New Roman"/>
                <w:sz w:val="28"/>
                <w:szCs w:val="28"/>
                <w:lang w:val="pt-BR"/>
              </w:rPr>
              <w:t>p</w:t>
            </w:r>
            <w:r w:rsidRPr="00D05C33">
              <w:rPr>
                <w:rFonts w:ascii="Times New Roman" w:hAnsi="Times New Roman" w:cs="Times New Roman"/>
                <w:sz w:val="28"/>
                <w:szCs w:val="28"/>
                <w:lang w:val="pt-BR"/>
              </w:rPr>
              <w:t>hường</w:t>
            </w:r>
            <w:r w:rsidR="003140D5">
              <w:rPr>
                <w:rFonts w:ascii="Times New Roman" w:hAnsi="Times New Roman" w:cs="Times New Roman"/>
                <w:sz w:val="28"/>
                <w:szCs w:val="28"/>
                <w:lang w:val="pt-BR"/>
              </w:rPr>
              <w:t>:</w:t>
            </w:r>
            <w:r w:rsidRPr="00D05C33">
              <w:rPr>
                <w:rFonts w:ascii="Times New Roman" w:hAnsi="Times New Roman" w:cs="Times New Roman"/>
                <w:sz w:val="28"/>
                <w:szCs w:val="28"/>
                <w:lang w:val="pt-BR"/>
              </w:rPr>
              <w:t xml:space="preserve"> Bà Rịa, Vũng Tàu, Tam Thắng, Rạch Dừa, Phước Thắng, Long Hương, Tam Long, Tân Hải, Tân Phước, Phú Mỹ, Tân Thành;</w:t>
            </w:r>
          </w:p>
          <w:p w14:paraId="0756C7F0" w14:textId="1F7B720E" w:rsidR="00B8038F" w:rsidRPr="00D05C33" w:rsidRDefault="00B8038F" w:rsidP="004502B8">
            <w:pPr>
              <w:spacing w:before="120" w:after="120" w:line="240" w:lineRule="auto"/>
              <w:jc w:val="both"/>
              <w:rPr>
                <w:rFonts w:ascii="Times New Roman" w:hAnsi="Times New Roman" w:cs="Times New Roman"/>
                <w:sz w:val="28"/>
                <w:szCs w:val="28"/>
                <w:lang w:val="pt-BR"/>
              </w:rPr>
            </w:pPr>
            <w:r w:rsidRPr="00D05C33">
              <w:rPr>
                <w:rFonts w:ascii="Times New Roman" w:hAnsi="Times New Roman" w:cs="Times New Roman"/>
                <w:sz w:val="28"/>
                <w:szCs w:val="28"/>
                <w:lang w:val="pt-BR"/>
              </w:rPr>
              <w:lastRenderedPageBreak/>
              <w:t xml:space="preserve">- </w:t>
            </w:r>
            <w:r w:rsidR="003140D5">
              <w:rPr>
                <w:rFonts w:ascii="Times New Roman" w:hAnsi="Times New Roman" w:cs="Times New Roman"/>
                <w:sz w:val="28"/>
                <w:szCs w:val="28"/>
                <w:lang w:val="pt-BR"/>
              </w:rPr>
              <w:t>Các x</w:t>
            </w:r>
            <w:r w:rsidRPr="00D05C33">
              <w:rPr>
                <w:rFonts w:ascii="Times New Roman" w:hAnsi="Times New Roman" w:cs="Times New Roman"/>
                <w:sz w:val="28"/>
                <w:szCs w:val="28"/>
                <w:lang w:val="pt-BR"/>
              </w:rPr>
              <w:t>ã</w:t>
            </w:r>
            <w:r w:rsidR="003140D5">
              <w:rPr>
                <w:rFonts w:ascii="Times New Roman" w:hAnsi="Times New Roman" w:cs="Times New Roman"/>
                <w:sz w:val="28"/>
                <w:szCs w:val="28"/>
                <w:lang w:val="pt-BR"/>
              </w:rPr>
              <w:t>:</w:t>
            </w:r>
            <w:r w:rsidRPr="00D05C33">
              <w:rPr>
                <w:rFonts w:ascii="Times New Roman" w:hAnsi="Times New Roman" w:cs="Times New Roman"/>
                <w:sz w:val="28"/>
                <w:szCs w:val="28"/>
                <w:lang w:val="pt-BR"/>
              </w:rPr>
              <w:t xml:space="preserve"> Long Sơn, Châu Pha, Long Hải, Long Điền, Phước Hải, Đất Đỏ, Nghĩa Thành, Ngãi Giao, Kim Long, Châu Đức, Bình Giã, Xuân Sơn, Hồ Tràm, Xuyên Mộc, Bình Châu, Hòa Hội, Hòa Hiệp, Bàu Lâm;</w:t>
            </w:r>
          </w:p>
          <w:p w14:paraId="0C7DFB01" w14:textId="77777777" w:rsidR="00B8038F" w:rsidRPr="00D05C33" w:rsidRDefault="00B8038F" w:rsidP="004502B8">
            <w:pPr>
              <w:spacing w:before="120" w:after="120" w:line="240" w:lineRule="auto"/>
              <w:jc w:val="both"/>
              <w:rPr>
                <w:rFonts w:ascii="Times New Roman" w:hAnsi="Times New Roman" w:cs="Times New Roman"/>
                <w:sz w:val="28"/>
                <w:szCs w:val="28"/>
                <w:lang w:val="pt-BR"/>
              </w:rPr>
            </w:pPr>
            <w:r w:rsidRPr="00D05C33">
              <w:rPr>
                <w:rFonts w:ascii="Times New Roman" w:hAnsi="Times New Roman" w:cs="Times New Roman"/>
                <w:sz w:val="28"/>
                <w:szCs w:val="28"/>
                <w:lang w:val="pt-BR"/>
              </w:rPr>
              <w:t>- Đặc khu Côn Đảo;</w:t>
            </w:r>
          </w:p>
          <w:p w14:paraId="0CF0869A" w14:textId="0DA01590" w:rsidR="00B8038F" w:rsidRPr="00D05C33" w:rsidRDefault="00B8038F" w:rsidP="004502B8">
            <w:pPr>
              <w:spacing w:before="120" w:after="120" w:line="240" w:lineRule="auto"/>
              <w:jc w:val="both"/>
              <w:rPr>
                <w:rFonts w:ascii="Times New Roman" w:hAnsi="Times New Roman" w:cs="Times New Roman"/>
                <w:spacing w:val="-2"/>
                <w:sz w:val="28"/>
                <w:szCs w:val="28"/>
                <w:lang w:val="pt-BR"/>
              </w:rPr>
            </w:pPr>
            <w:r w:rsidRPr="00D05C33">
              <w:rPr>
                <w:rFonts w:ascii="Times New Roman" w:hAnsi="Times New Roman" w:cs="Times New Roman"/>
                <w:spacing w:val="-2"/>
                <w:sz w:val="28"/>
                <w:szCs w:val="28"/>
                <w:lang w:val="pt-BR"/>
              </w:rPr>
              <w:t>- Cơ sở cai nghiện ma túy số 6 Công an Thành phố Hồ Chí Minh.</w:t>
            </w:r>
          </w:p>
        </w:tc>
      </w:tr>
    </w:tbl>
    <w:p w14:paraId="05842FF6" w14:textId="5DD3519C" w:rsidR="002C4BD8" w:rsidRDefault="002C4BD8" w:rsidP="00FB3950">
      <w:pPr>
        <w:tabs>
          <w:tab w:val="left" w:pos="8976"/>
        </w:tabs>
        <w:spacing w:after="120" w:line="240" w:lineRule="auto"/>
        <w:rPr>
          <w:rFonts w:ascii="Times New Roman" w:hAnsi="Times New Roman" w:cs="Times New Roman"/>
          <w:b/>
          <w:color w:val="000000"/>
          <w:sz w:val="28"/>
          <w:szCs w:val="18"/>
        </w:rPr>
      </w:pPr>
    </w:p>
    <w:sectPr w:rsidR="002C4BD8" w:rsidSect="00F7330C">
      <w:pgSz w:w="16838" w:h="11906" w:orient="landscape" w:code="9"/>
      <w:pgMar w:top="1135" w:right="820" w:bottom="851" w:left="1418"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D41DB" w14:textId="77777777" w:rsidR="00944A39" w:rsidRDefault="00944A39" w:rsidP="00840A33">
      <w:pPr>
        <w:spacing w:after="0" w:line="240" w:lineRule="auto"/>
      </w:pPr>
      <w:r>
        <w:separator/>
      </w:r>
    </w:p>
  </w:endnote>
  <w:endnote w:type="continuationSeparator" w:id="0">
    <w:p w14:paraId="7E41779A" w14:textId="77777777" w:rsidR="00944A39" w:rsidRDefault="00944A39" w:rsidP="0084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77421" w14:textId="77777777" w:rsidR="00944A39" w:rsidRDefault="00944A39" w:rsidP="00840A33">
      <w:pPr>
        <w:spacing w:after="0" w:line="240" w:lineRule="auto"/>
      </w:pPr>
      <w:r>
        <w:separator/>
      </w:r>
    </w:p>
  </w:footnote>
  <w:footnote w:type="continuationSeparator" w:id="0">
    <w:p w14:paraId="0FAB1AF3" w14:textId="77777777" w:rsidR="00944A39" w:rsidRDefault="00944A39" w:rsidP="0084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1868239"/>
      <w:docPartObj>
        <w:docPartGallery w:val="Page Numbers (Top of Page)"/>
        <w:docPartUnique/>
      </w:docPartObj>
    </w:sdtPr>
    <w:sdtEndPr>
      <w:rPr>
        <w:rFonts w:ascii="Times New Roman" w:hAnsi="Times New Roman" w:cs="Times New Roman"/>
        <w:noProof/>
        <w:sz w:val="24"/>
        <w:szCs w:val="24"/>
      </w:rPr>
    </w:sdtEndPr>
    <w:sdtContent>
      <w:p w14:paraId="6AB88CF1" w14:textId="6D26B8B5" w:rsidR="001519D6" w:rsidRPr="00840A33" w:rsidRDefault="001519D6">
        <w:pPr>
          <w:pStyle w:val="Header"/>
          <w:jc w:val="center"/>
          <w:rPr>
            <w:rFonts w:ascii="Times New Roman" w:hAnsi="Times New Roman" w:cs="Times New Roman"/>
            <w:sz w:val="24"/>
            <w:szCs w:val="24"/>
          </w:rPr>
        </w:pPr>
        <w:r w:rsidRPr="00840A33">
          <w:rPr>
            <w:rFonts w:ascii="Times New Roman" w:hAnsi="Times New Roman" w:cs="Times New Roman"/>
            <w:sz w:val="24"/>
            <w:szCs w:val="24"/>
          </w:rPr>
          <w:fldChar w:fldCharType="begin"/>
        </w:r>
        <w:r w:rsidRPr="00840A33">
          <w:rPr>
            <w:rFonts w:ascii="Times New Roman" w:hAnsi="Times New Roman" w:cs="Times New Roman"/>
            <w:sz w:val="24"/>
            <w:szCs w:val="24"/>
          </w:rPr>
          <w:instrText xml:space="preserve"> PAGE   \* MERGEFORMAT </w:instrText>
        </w:r>
        <w:r w:rsidRPr="00840A33">
          <w:rPr>
            <w:rFonts w:ascii="Times New Roman" w:hAnsi="Times New Roman" w:cs="Times New Roman"/>
            <w:sz w:val="24"/>
            <w:szCs w:val="24"/>
          </w:rPr>
          <w:fldChar w:fldCharType="separate"/>
        </w:r>
        <w:r w:rsidR="00125DBB">
          <w:rPr>
            <w:rFonts w:ascii="Times New Roman" w:hAnsi="Times New Roman" w:cs="Times New Roman"/>
            <w:noProof/>
            <w:sz w:val="24"/>
            <w:szCs w:val="24"/>
          </w:rPr>
          <w:t>13</w:t>
        </w:r>
        <w:r w:rsidRPr="00840A33">
          <w:rPr>
            <w:rFonts w:ascii="Times New Roman" w:hAnsi="Times New Roman" w:cs="Times New Roman"/>
            <w:noProof/>
            <w:sz w:val="24"/>
            <w:szCs w:val="24"/>
          </w:rPr>
          <w:fldChar w:fldCharType="end"/>
        </w:r>
      </w:p>
    </w:sdtContent>
  </w:sdt>
  <w:p w14:paraId="4503D770" w14:textId="77777777" w:rsidR="001519D6" w:rsidRDefault="00151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459346"/>
      <w:docPartObj>
        <w:docPartGallery w:val="Page Numbers (Top of Page)"/>
        <w:docPartUnique/>
      </w:docPartObj>
    </w:sdtPr>
    <w:sdtEndPr>
      <w:rPr>
        <w:noProof/>
      </w:rPr>
    </w:sdtEndPr>
    <w:sdtContent>
      <w:p w14:paraId="668579C8" w14:textId="5C3B4C45" w:rsidR="001519D6" w:rsidRDefault="00E7722C">
        <w:pPr>
          <w:pStyle w:val="Header"/>
          <w:jc w:val="center"/>
        </w:pPr>
      </w:p>
    </w:sdtContent>
  </w:sdt>
  <w:p w14:paraId="23F1A9A4" w14:textId="77777777" w:rsidR="001519D6" w:rsidRDefault="001519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4A"/>
    <w:rsid w:val="000177C7"/>
    <w:rsid w:val="00036734"/>
    <w:rsid w:val="00050325"/>
    <w:rsid w:val="00064F1E"/>
    <w:rsid w:val="00096CCB"/>
    <w:rsid w:val="000C5F6B"/>
    <w:rsid w:val="00101B98"/>
    <w:rsid w:val="00125DBB"/>
    <w:rsid w:val="001519D6"/>
    <w:rsid w:val="00162DAD"/>
    <w:rsid w:val="0017145B"/>
    <w:rsid w:val="001920B3"/>
    <w:rsid w:val="001A6333"/>
    <w:rsid w:val="001F3094"/>
    <w:rsid w:val="00203A82"/>
    <w:rsid w:val="00210523"/>
    <w:rsid w:val="00216533"/>
    <w:rsid w:val="002405F7"/>
    <w:rsid w:val="00256775"/>
    <w:rsid w:val="002B1A50"/>
    <w:rsid w:val="002C4BD8"/>
    <w:rsid w:val="002E4F69"/>
    <w:rsid w:val="002F5A17"/>
    <w:rsid w:val="003140D5"/>
    <w:rsid w:val="00347D89"/>
    <w:rsid w:val="0037131A"/>
    <w:rsid w:val="00376ADB"/>
    <w:rsid w:val="003A657C"/>
    <w:rsid w:val="003B2C50"/>
    <w:rsid w:val="003B5EA1"/>
    <w:rsid w:val="00416A40"/>
    <w:rsid w:val="004277F6"/>
    <w:rsid w:val="004502B8"/>
    <w:rsid w:val="0045314A"/>
    <w:rsid w:val="00465E0B"/>
    <w:rsid w:val="004977E4"/>
    <w:rsid w:val="004B7D61"/>
    <w:rsid w:val="004D38CC"/>
    <w:rsid w:val="004F7A80"/>
    <w:rsid w:val="0052167C"/>
    <w:rsid w:val="005319CB"/>
    <w:rsid w:val="005353D0"/>
    <w:rsid w:val="005364C6"/>
    <w:rsid w:val="00544A0D"/>
    <w:rsid w:val="005748AB"/>
    <w:rsid w:val="005A01CB"/>
    <w:rsid w:val="005C4024"/>
    <w:rsid w:val="005D7D88"/>
    <w:rsid w:val="005F2086"/>
    <w:rsid w:val="00630136"/>
    <w:rsid w:val="00632411"/>
    <w:rsid w:val="00655A63"/>
    <w:rsid w:val="00660179"/>
    <w:rsid w:val="006D53EC"/>
    <w:rsid w:val="006D5B39"/>
    <w:rsid w:val="006E21FB"/>
    <w:rsid w:val="006E52B8"/>
    <w:rsid w:val="006E73A5"/>
    <w:rsid w:val="007021ED"/>
    <w:rsid w:val="00724D52"/>
    <w:rsid w:val="007C339F"/>
    <w:rsid w:val="007D4F0D"/>
    <w:rsid w:val="00806F99"/>
    <w:rsid w:val="00836809"/>
    <w:rsid w:val="00836C6C"/>
    <w:rsid w:val="00840A33"/>
    <w:rsid w:val="008428E9"/>
    <w:rsid w:val="00870BF0"/>
    <w:rsid w:val="00896373"/>
    <w:rsid w:val="008B1B21"/>
    <w:rsid w:val="008E4C90"/>
    <w:rsid w:val="008F2797"/>
    <w:rsid w:val="009227AE"/>
    <w:rsid w:val="009249D1"/>
    <w:rsid w:val="00944A39"/>
    <w:rsid w:val="00950668"/>
    <w:rsid w:val="009656A2"/>
    <w:rsid w:val="00990573"/>
    <w:rsid w:val="009C5CFA"/>
    <w:rsid w:val="009D6D6C"/>
    <w:rsid w:val="009E23E4"/>
    <w:rsid w:val="009F7E9D"/>
    <w:rsid w:val="00A20CAA"/>
    <w:rsid w:val="00A2466F"/>
    <w:rsid w:val="00A45458"/>
    <w:rsid w:val="00A46AA0"/>
    <w:rsid w:val="00A4766A"/>
    <w:rsid w:val="00A47B48"/>
    <w:rsid w:val="00A7576B"/>
    <w:rsid w:val="00AA21DA"/>
    <w:rsid w:val="00AD2DA6"/>
    <w:rsid w:val="00AD31DB"/>
    <w:rsid w:val="00AE34BC"/>
    <w:rsid w:val="00B02615"/>
    <w:rsid w:val="00B06C25"/>
    <w:rsid w:val="00B07547"/>
    <w:rsid w:val="00B30DAB"/>
    <w:rsid w:val="00B350BD"/>
    <w:rsid w:val="00B5011F"/>
    <w:rsid w:val="00B61DE0"/>
    <w:rsid w:val="00B8038F"/>
    <w:rsid w:val="00B91B8B"/>
    <w:rsid w:val="00B95784"/>
    <w:rsid w:val="00BA2AFF"/>
    <w:rsid w:val="00BA5ADE"/>
    <w:rsid w:val="00BA5FD2"/>
    <w:rsid w:val="00BD0BFC"/>
    <w:rsid w:val="00C752BB"/>
    <w:rsid w:val="00CB429D"/>
    <w:rsid w:val="00CD2F9A"/>
    <w:rsid w:val="00CE653E"/>
    <w:rsid w:val="00D05C33"/>
    <w:rsid w:val="00D25A68"/>
    <w:rsid w:val="00D33FC3"/>
    <w:rsid w:val="00D82663"/>
    <w:rsid w:val="00D84173"/>
    <w:rsid w:val="00D87D39"/>
    <w:rsid w:val="00D93D2B"/>
    <w:rsid w:val="00DC127D"/>
    <w:rsid w:val="00DD0122"/>
    <w:rsid w:val="00DD6EF7"/>
    <w:rsid w:val="00E13098"/>
    <w:rsid w:val="00E26FDF"/>
    <w:rsid w:val="00E32BD2"/>
    <w:rsid w:val="00E62C0D"/>
    <w:rsid w:val="00E725B7"/>
    <w:rsid w:val="00E7722C"/>
    <w:rsid w:val="00E86696"/>
    <w:rsid w:val="00E94AFF"/>
    <w:rsid w:val="00E9786A"/>
    <w:rsid w:val="00EE0B1B"/>
    <w:rsid w:val="00F103BC"/>
    <w:rsid w:val="00F243EC"/>
    <w:rsid w:val="00F418BB"/>
    <w:rsid w:val="00F46A11"/>
    <w:rsid w:val="00F7330C"/>
    <w:rsid w:val="00F7557E"/>
    <w:rsid w:val="00FA3294"/>
    <w:rsid w:val="00FA3CF0"/>
    <w:rsid w:val="00FB3950"/>
    <w:rsid w:val="00FB3A93"/>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F59A"/>
  <w15:chartTrackingRefBased/>
  <w15:docId w15:val="{27291D5F-FA45-4B50-8508-8918B387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4A"/>
    <w:pPr>
      <w:spacing w:after="200" w:line="276" w:lineRule="auto"/>
    </w:pPr>
    <w:rPr>
      <w:rFonts w:asciiTheme="minorHAnsi" w:eastAsiaTheme="minorEastAsia" w:hAnsiTheme="minorHAnsi"/>
      <w:sz w:val="22"/>
    </w:rPr>
  </w:style>
  <w:style w:type="paragraph" w:styleId="Heading3">
    <w:name w:val="heading 3"/>
    <w:basedOn w:val="Normal"/>
    <w:next w:val="Normal"/>
    <w:link w:val="Heading3Char"/>
    <w:uiPriority w:val="9"/>
    <w:unhideWhenUsed/>
    <w:qFormat/>
    <w:rsid w:val="0045314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14A"/>
    <w:rPr>
      <w:rFonts w:asciiTheme="majorHAnsi" w:eastAsiaTheme="majorEastAsia" w:hAnsiTheme="majorHAnsi" w:cstheme="majorBidi"/>
      <w:b/>
      <w:bCs/>
      <w:color w:val="4472C4" w:themeColor="accent1"/>
      <w:sz w:val="22"/>
    </w:rPr>
  </w:style>
  <w:style w:type="paragraph" w:styleId="Header">
    <w:name w:val="header"/>
    <w:basedOn w:val="Normal"/>
    <w:link w:val="HeaderChar"/>
    <w:uiPriority w:val="99"/>
    <w:unhideWhenUsed/>
    <w:rsid w:val="00453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14A"/>
    <w:rPr>
      <w:rFonts w:asciiTheme="minorHAnsi" w:eastAsiaTheme="minorEastAsia" w:hAnsiTheme="minorHAnsi"/>
      <w:sz w:val="22"/>
    </w:rPr>
  </w:style>
  <w:style w:type="table" w:styleId="TableGrid">
    <w:name w:val="Table Grid"/>
    <w:basedOn w:val="TableNormal"/>
    <w:uiPriority w:val="59"/>
    <w:rsid w:val="0045314A"/>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56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27AE"/>
    <w:pPr>
      <w:ind w:left="720"/>
      <w:contextualSpacing/>
    </w:pPr>
  </w:style>
  <w:style w:type="character" w:customStyle="1" w:styleId="citation-114">
    <w:name w:val="citation-114"/>
    <w:basedOn w:val="DefaultParagraphFont"/>
    <w:rsid w:val="00A46AA0"/>
  </w:style>
  <w:style w:type="character" w:customStyle="1" w:styleId="citation-113">
    <w:name w:val="citation-113"/>
    <w:basedOn w:val="DefaultParagraphFont"/>
    <w:rsid w:val="00A46AA0"/>
  </w:style>
  <w:style w:type="character" w:customStyle="1" w:styleId="citation-112">
    <w:name w:val="citation-112"/>
    <w:basedOn w:val="DefaultParagraphFont"/>
    <w:rsid w:val="00A46AA0"/>
  </w:style>
  <w:style w:type="character" w:customStyle="1" w:styleId="citation-111">
    <w:name w:val="citation-111"/>
    <w:basedOn w:val="DefaultParagraphFont"/>
    <w:rsid w:val="00A46AA0"/>
  </w:style>
  <w:style w:type="character" w:customStyle="1" w:styleId="citation-110">
    <w:name w:val="citation-110"/>
    <w:basedOn w:val="DefaultParagraphFont"/>
    <w:rsid w:val="00A46AA0"/>
  </w:style>
  <w:style w:type="character" w:customStyle="1" w:styleId="citation-109">
    <w:name w:val="citation-109"/>
    <w:basedOn w:val="DefaultParagraphFont"/>
    <w:rsid w:val="00A46AA0"/>
  </w:style>
  <w:style w:type="character" w:customStyle="1" w:styleId="citation-108">
    <w:name w:val="citation-108"/>
    <w:basedOn w:val="DefaultParagraphFont"/>
    <w:rsid w:val="00A46AA0"/>
  </w:style>
  <w:style w:type="character" w:customStyle="1" w:styleId="citation-107">
    <w:name w:val="citation-107"/>
    <w:basedOn w:val="DefaultParagraphFont"/>
    <w:rsid w:val="00A46AA0"/>
  </w:style>
  <w:style w:type="character" w:customStyle="1" w:styleId="citation-106">
    <w:name w:val="citation-106"/>
    <w:basedOn w:val="DefaultParagraphFont"/>
    <w:rsid w:val="00A46AA0"/>
  </w:style>
  <w:style w:type="character" w:customStyle="1" w:styleId="citation-105">
    <w:name w:val="citation-105"/>
    <w:basedOn w:val="DefaultParagraphFont"/>
    <w:rsid w:val="00A46AA0"/>
  </w:style>
  <w:style w:type="paragraph" w:styleId="Footer">
    <w:name w:val="footer"/>
    <w:basedOn w:val="Normal"/>
    <w:link w:val="FooterChar"/>
    <w:uiPriority w:val="99"/>
    <w:unhideWhenUsed/>
    <w:rsid w:val="00840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33"/>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06983">
      <w:bodyDiv w:val="1"/>
      <w:marLeft w:val="0"/>
      <w:marRight w:val="0"/>
      <w:marTop w:val="0"/>
      <w:marBottom w:val="0"/>
      <w:divBdr>
        <w:top w:val="none" w:sz="0" w:space="0" w:color="auto"/>
        <w:left w:val="none" w:sz="0" w:space="0" w:color="auto"/>
        <w:bottom w:val="none" w:sz="0" w:space="0" w:color="auto"/>
        <w:right w:val="none" w:sz="0" w:space="0" w:color="auto"/>
      </w:divBdr>
    </w:div>
    <w:div w:id="15109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52F2-EE0E-42FC-904E-6A89FB8C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2025-11-11T08:24:00Z</cp:lastPrinted>
  <dcterms:created xsi:type="dcterms:W3CDTF">2025-11-13T10:46:00Z</dcterms:created>
  <dcterms:modified xsi:type="dcterms:W3CDTF">2025-11-13T10:46:00Z</dcterms:modified>
</cp:coreProperties>
</file>